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205F40" w:rsidRDefault="00A71ACC" w:rsidP="00D44968">
      <w:pPr>
        <w:suppressLineNumbers/>
        <w:rPr>
          <w:b/>
          <w:bCs/>
          <w:sz w:val="26"/>
          <w:szCs w:val="26"/>
          <w:rtl/>
        </w:rPr>
      </w:pPr>
      <w:bookmarkStart w:id="0" w:name="_GoBack"/>
      <w:bookmarkEnd w:id="0"/>
      <w:r w:rsidRPr="00205F40">
        <w:rPr>
          <w:rFonts w:hint="cs"/>
          <w:b/>
          <w:bCs/>
          <w:sz w:val="26"/>
          <w:szCs w:val="26"/>
          <w:rtl/>
        </w:rPr>
        <w:t xml:space="preserve">בפניי : </w:t>
      </w:r>
      <w:r w:rsidR="00205F40">
        <w:rPr>
          <w:b/>
          <w:bCs/>
          <w:sz w:val="26"/>
          <w:szCs w:val="26"/>
          <w:rtl/>
        </w:rPr>
        <w:tab/>
      </w:r>
      <w:r w:rsidRPr="00205F40">
        <w:rPr>
          <w:b/>
          <w:bCs/>
          <w:sz w:val="26"/>
          <w:szCs w:val="26"/>
          <w:rtl/>
        </w:rPr>
        <w:t>כבוד השופטת  לירון זרבל- קדשאי</w:t>
      </w:r>
      <w:r w:rsidR="0094424E" w:rsidRPr="00205F40">
        <w:rPr>
          <w:b/>
          <w:bCs/>
          <w:sz w:val="26"/>
          <w:szCs w:val="26"/>
          <w:rtl/>
        </w:rPr>
        <w:t xml:space="preserve"> </w:t>
      </w:r>
    </w:p>
    <w:p w:rsidR="00A71ACC" w:rsidRPr="00205F40" w:rsidRDefault="00A71ACC" w:rsidP="00D44968">
      <w:pPr>
        <w:suppressLineNumbers/>
        <w:rPr>
          <w:b/>
          <w:bCs/>
          <w:sz w:val="26"/>
          <w:szCs w:val="26"/>
          <w:rtl/>
        </w:rPr>
      </w:pPr>
    </w:p>
    <w:p w:rsidR="00205F40" w:rsidRDefault="00205F40" w:rsidP="00205F40">
      <w:pPr>
        <w:suppressLineNumbers/>
        <w:spacing w:line="360" w:lineRule="auto"/>
        <w:rPr>
          <w:b/>
          <w:bCs/>
          <w:sz w:val="26"/>
          <w:szCs w:val="26"/>
          <w:rtl/>
        </w:rPr>
      </w:pPr>
    </w:p>
    <w:p w:rsidR="00A71ACC" w:rsidRPr="00205F40" w:rsidRDefault="00A71ACC" w:rsidP="00254030">
      <w:pPr>
        <w:suppressLineNumbers/>
        <w:spacing w:line="360" w:lineRule="auto"/>
        <w:rPr>
          <w:b/>
          <w:bCs/>
          <w:sz w:val="26"/>
          <w:szCs w:val="26"/>
          <w:rtl/>
        </w:rPr>
      </w:pPr>
      <w:r w:rsidRPr="00205F40">
        <w:rPr>
          <w:rFonts w:hint="cs"/>
          <w:b/>
          <w:bCs/>
          <w:sz w:val="26"/>
          <w:szCs w:val="26"/>
          <w:rtl/>
        </w:rPr>
        <w:t xml:space="preserve">הקטינים : </w:t>
      </w:r>
      <w:r w:rsidR="00205F40">
        <w:rPr>
          <w:b/>
          <w:bCs/>
          <w:sz w:val="26"/>
          <w:szCs w:val="26"/>
          <w:rtl/>
        </w:rPr>
        <w:tab/>
      </w:r>
      <w:r w:rsidR="00205F40">
        <w:rPr>
          <w:b/>
          <w:bCs/>
          <w:sz w:val="26"/>
          <w:szCs w:val="26"/>
          <w:rtl/>
        </w:rPr>
        <w:tab/>
      </w:r>
      <w:r w:rsidR="00254030">
        <w:rPr>
          <w:rFonts w:hint="cs"/>
          <w:b/>
          <w:bCs/>
          <w:sz w:val="26"/>
          <w:szCs w:val="26"/>
          <w:rtl/>
        </w:rPr>
        <w:t>קטין</w:t>
      </w:r>
      <w:r w:rsidRPr="00205F40">
        <w:rPr>
          <w:rFonts w:hint="cs"/>
          <w:b/>
          <w:bCs/>
          <w:sz w:val="26"/>
          <w:szCs w:val="26"/>
          <w:rtl/>
        </w:rPr>
        <w:t xml:space="preserve">, יליד </w:t>
      </w:r>
      <w:r w:rsidR="00254030">
        <w:rPr>
          <w:rFonts w:hint="cs"/>
          <w:b/>
          <w:bCs/>
          <w:sz w:val="26"/>
          <w:szCs w:val="26"/>
          <w:rtl/>
        </w:rPr>
        <w:t>00</w:t>
      </w:r>
      <w:r w:rsidRPr="00205F40">
        <w:rPr>
          <w:rFonts w:hint="cs"/>
          <w:b/>
          <w:bCs/>
          <w:sz w:val="26"/>
          <w:szCs w:val="26"/>
          <w:rtl/>
        </w:rPr>
        <w:t>.</w:t>
      </w:r>
      <w:r w:rsidR="00254030">
        <w:rPr>
          <w:rFonts w:hint="cs"/>
          <w:b/>
          <w:bCs/>
          <w:sz w:val="26"/>
          <w:szCs w:val="26"/>
          <w:rtl/>
        </w:rPr>
        <w:t>00</w:t>
      </w:r>
      <w:r w:rsidRPr="00205F40">
        <w:rPr>
          <w:rFonts w:hint="cs"/>
          <w:b/>
          <w:bCs/>
          <w:sz w:val="26"/>
          <w:szCs w:val="26"/>
          <w:rtl/>
        </w:rPr>
        <w:t>.19</w:t>
      </w:r>
    </w:p>
    <w:p w:rsidR="00A71ACC" w:rsidRPr="00205F40" w:rsidRDefault="00254030" w:rsidP="00254030">
      <w:pPr>
        <w:suppressLineNumbers/>
        <w:spacing w:line="360" w:lineRule="auto"/>
        <w:ind w:left="1440" w:firstLine="720"/>
        <w:rPr>
          <w:b/>
          <w:bCs/>
          <w:sz w:val="26"/>
          <w:szCs w:val="26"/>
          <w:rtl/>
        </w:rPr>
      </w:pPr>
      <w:r>
        <w:rPr>
          <w:rFonts w:hint="cs"/>
          <w:b/>
          <w:bCs/>
          <w:sz w:val="26"/>
          <w:szCs w:val="26"/>
          <w:rtl/>
        </w:rPr>
        <w:t>קטינה</w:t>
      </w:r>
      <w:r w:rsidR="00A71ACC" w:rsidRPr="00205F40">
        <w:rPr>
          <w:rFonts w:hint="cs"/>
          <w:b/>
          <w:bCs/>
          <w:sz w:val="26"/>
          <w:szCs w:val="26"/>
          <w:rtl/>
        </w:rPr>
        <w:t xml:space="preserve">, ילידת </w:t>
      </w:r>
      <w:r>
        <w:rPr>
          <w:rFonts w:hint="cs"/>
          <w:b/>
          <w:bCs/>
          <w:sz w:val="26"/>
          <w:szCs w:val="26"/>
          <w:rtl/>
        </w:rPr>
        <w:t>00</w:t>
      </w:r>
      <w:r w:rsidR="00A71ACC" w:rsidRPr="00205F40">
        <w:rPr>
          <w:rFonts w:hint="cs"/>
          <w:b/>
          <w:bCs/>
          <w:sz w:val="26"/>
          <w:szCs w:val="26"/>
          <w:rtl/>
        </w:rPr>
        <w:t>.</w:t>
      </w:r>
      <w:r>
        <w:rPr>
          <w:rFonts w:hint="cs"/>
          <w:b/>
          <w:bCs/>
          <w:sz w:val="26"/>
          <w:szCs w:val="26"/>
          <w:rtl/>
        </w:rPr>
        <w:t>00</w:t>
      </w:r>
      <w:r w:rsidR="00A71ACC" w:rsidRPr="00205F40">
        <w:rPr>
          <w:rFonts w:hint="cs"/>
          <w:b/>
          <w:bCs/>
          <w:sz w:val="26"/>
          <w:szCs w:val="26"/>
          <w:rtl/>
        </w:rPr>
        <w:t>.21</w:t>
      </w:r>
    </w:p>
    <w:p w:rsidR="00A71ACC" w:rsidRPr="00205F40" w:rsidRDefault="00A71ACC" w:rsidP="00D44968">
      <w:pPr>
        <w:suppressLineNumbers/>
        <w:rPr>
          <w:b/>
          <w:bCs/>
          <w:sz w:val="26"/>
          <w:szCs w:val="26"/>
          <w:rtl/>
        </w:rPr>
      </w:pPr>
    </w:p>
    <w:p w:rsidR="00205F40" w:rsidRDefault="00205F40" w:rsidP="00205F40">
      <w:pPr>
        <w:suppressLineNumbers/>
        <w:spacing w:line="360" w:lineRule="auto"/>
        <w:rPr>
          <w:b/>
          <w:bCs/>
          <w:sz w:val="26"/>
          <w:szCs w:val="26"/>
          <w:rtl/>
        </w:rPr>
      </w:pPr>
    </w:p>
    <w:p w:rsidR="00A71ACC" w:rsidRPr="00205F40" w:rsidRDefault="00A71ACC" w:rsidP="00254030">
      <w:pPr>
        <w:suppressLineNumbers/>
        <w:spacing w:line="360" w:lineRule="auto"/>
        <w:rPr>
          <w:b/>
          <w:bCs/>
          <w:sz w:val="26"/>
          <w:szCs w:val="26"/>
          <w:rtl/>
        </w:rPr>
      </w:pPr>
      <w:r w:rsidRPr="00205F40">
        <w:rPr>
          <w:rFonts w:hint="cs"/>
          <w:b/>
          <w:bCs/>
          <w:sz w:val="26"/>
          <w:szCs w:val="26"/>
          <w:rtl/>
        </w:rPr>
        <w:t xml:space="preserve">המבקשת : </w:t>
      </w:r>
      <w:r w:rsidR="00205F40">
        <w:rPr>
          <w:b/>
          <w:bCs/>
          <w:sz w:val="26"/>
          <w:szCs w:val="26"/>
          <w:rtl/>
        </w:rPr>
        <w:tab/>
      </w:r>
      <w:r w:rsidR="00205F40">
        <w:rPr>
          <w:b/>
          <w:bCs/>
          <w:sz w:val="26"/>
          <w:szCs w:val="26"/>
          <w:rtl/>
        </w:rPr>
        <w:tab/>
      </w:r>
      <w:r w:rsidR="00254030">
        <w:rPr>
          <w:rFonts w:hint="cs"/>
          <w:b/>
          <w:bCs/>
          <w:sz w:val="26"/>
          <w:szCs w:val="26"/>
          <w:rtl/>
        </w:rPr>
        <w:t>פלונית</w:t>
      </w:r>
    </w:p>
    <w:p w:rsidR="00A71ACC" w:rsidRDefault="00A71ACC" w:rsidP="00205F40">
      <w:pPr>
        <w:suppressLineNumbers/>
        <w:spacing w:line="360" w:lineRule="auto"/>
        <w:rPr>
          <w:sz w:val="26"/>
          <w:szCs w:val="26"/>
          <w:rtl/>
        </w:rPr>
      </w:pPr>
      <w:r>
        <w:rPr>
          <w:rFonts w:hint="cs"/>
          <w:sz w:val="26"/>
          <w:szCs w:val="26"/>
          <w:rtl/>
        </w:rPr>
        <w:t xml:space="preserve">התובעת </w:t>
      </w:r>
      <w:r w:rsidR="00205F40">
        <w:rPr>
          <w:rtl/>
        </w:rPr>
        <w:tab/>
      </w:r>
      <w:r w:rsidR="00205F40">
        <w:rPr>
          <w:rtl/>
        </w:rPr>
        <w:tab/>
      </w:r>
      <w:r w:rsidRPr="00205F40">
        <w:rPr>
          <w:rFonts w:hint="cs"/>
          <w:rtl/>
        </w:rPr>
        <w:t>ע"י ב"כ עו"ד טל זלץ</w:t>
      </w:r>
    </w:p>
    <w:p w:rsidR="00A71ACC" w:rsidRDefault="00A71ACC" w:rsidP="00D44968">
      <w:pPr>
        <w:suppressLineNumbers/>
        <w:rPr>
          <w:sz w:val="26"/>
          <w:szCs w:val="26"/>
          <w:rtl/>
        </w:rPr>
      </w:pPr>
    </w:p>
    <w:p w:rsidR="00A71ACC" w:rsidRDefault="00A71ACC" w:rsidP="00205F40">
      <w:pPr>
        <w:suppressLineNumbers/>
        <w:ind w:left="2160" w:firstLine="720"/>
        <w:rPr>
          <w:sz w:val="26"/>
          <w:szCs w:val="26"/>
          <w:rtl/>
        </w:rPr>
      </w:pPr>
      <w:r>
        <w:rPr>
          <w:rFonts w:hint="cs"/>
          <w:sz w:val="26"/>
          <w:szCs w:val="26"/>
          <w:rtl/>
        </w:rPr>
        <w:t>נ  ג  ד</w:t>
      </w:r>
    </w:p>
    <w:p w:rsidR="00A71ACC" w:rsidRDefault="00A71ACC" w:rsidP="00D44968">
      <w:pPr>
        <w:suppressLineNumbers/>
        <w:rPr>
          <w:sz w:val="26"/>
          <w:szCs w:val="26"/>
          <w:rtl/>
        </w:rPr>
      </w:pPr>
    </w:p>
    <w:p w:rsidR="00205F40" w:rsidRDefault="00205F40" w:rsidP="00D44968">
      <w:pPr>
        <w:suppressLineNumbers/>
        <w:rPr>
          <w:sz w:val="26"/>
          <w:szCs w:val="26"/>
          <w:rtl/>
        </w:rPr>
      </w:pPr>
    </w:p>
    <w:p w:rsidR="00A71ACC" w:rsidRPr="00205F40" w:rsidRDefault="00A71ACC" w:rsidP="00254030">
      <w:pPr>
        <w:suppressLineNumbers/>
        <w:spacing w:line="360" w:lineRule="auto"/>
        <w:rPr>
          <w:b/>
          <w:bCs/>
          <w:sz w:val="26"/>
          <w:szCs w:val="26"/>
          <w:rtl/>
        </w:rPr>
      </w:pPr>
      <w:r w:rsidRPr="00205F40">
        <w:rPr>
          <w:rFonts w:hint="cs"/>
          <w:b/>
          <w:bCs/>
          <w:sz w:val="26"/>
          <w:szCs w:val="26"/>
          <w:rtl/>
        </w:rPr>
        <w:t xml:space="preserve">המשיב : </w:t>
      </w:r>
      <w:r w:rsidR="00205F40">
        <w:rPr>
          <w:b/>
          <w:bCs/>
          <w:sz w:val="26"/>
          <w:szCs w:val="26"/>
          <w:rtl/>
        </w:rPr>
        <w:tab/>
      </w:r>
      <w:r w:rsidR="00205F40">
        <w:rPr>
          <w:b/>
          <w:bCs/>
          <w:sz w:val="26"/>
          <w:szCs w:val="26"/>
          <w:rtl/>
        </w:rPr>
        <w:tab/>
      </w:r>
      <w:r w:rsidR="00254030">
        <w:rPr>
          <w:rFonts w:hint="cs"/>
          <w:b/>
          <w:bCs/>
          <w:sz w:val="26"/>
          <w:szCs w:val="26"/>
          <w:rtl/>
        </w:rPr>
        <w:t>פלוני</w:t>
      </w:r>
    </w:p>
    <w:p w:rsidR="00A71ACC" w:rsidRDefault="00A71ACC" w:rsidP="00205F40">
      <w:pPr>
        <w:suppressLineNumbers/>
        <w:spacing w:line="360" w:lineRule="auto"/>
        <w:rPr>
          <w:sz w:val="26"/>
          <w:szCs w:val="26"/>
          <w:rtl/>
        </w:rPr>
      </w:pPr>
      <w:r>
        <w:rPr>
          <w:rFonts w:hint="cs"/>
          <w:sz w:val="26"/>
          <w:szCs w:val="26"/>
          <w:rtl/>
        </w:rPr>
        <w:t xml:space="preserve">הנתבע </w:t>
      </w:r>
      <w:r w:rsidR="00205F40">
        <w:rPr>
          <w:sz w:val="26"/>
          <w:szCs w:val="26"/>
          <w:rtl/>
        </w:rPr>
        <w:tab/>
      </w:r>
      <w:r w:rsidR="00205F40">
        <w:rPr>
          <w:sz w:val="26"/>
          <w:szCs w:val="26"/>
          <w:rtl/>
        </w:rPr>
        <w:tab/>
      </w:r>
      <w:r w:rsidR="00205F40">
        <w:rPr>
          <w:sz w:val="26"/>
          <w:szCs w:val="26"/>
          <w:rtl/>
        </w:rPr>
        <w:tab/>
      </w:r>
      <w:r w:rsidRPr="00205F40">
        <w:rPr>
          <w:rFonts w:hint="cs"/>
          <w:rtl/>
        </w:rPr>
        <w:t>ע"י ב"כ עו"ד שרון סגל</w:t>
      </w:r>
    </w:p>
    <w:p w:rsidR="00A71ACC" w:rsidRPr="00A71ACC" w:rsidRDefault="00A71ACC" w:rsidP="00D44968">
      <w:pPr>
        <w:suppressLineNumbers/>
        <w:rPr>
          <w:sz w:val="26"/>
          <w:szCs w:val="26"/>
          <w:rtl/>
        </w:rPr>
      </w:pP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205F40" w:rsidRDefault="00180519">
            <w:pPr>
              <w:bidi w:val="0"/>
              <w:jc w:val="center"/>
              <w:rPr>
                <w:rFonts w:ascii="Arial" w:hAnsi="Arial"/>
                <w:b/>
                <w:bCs/>
                <w:noProof w:val="0"/>
                <w:sz w:val="36"/>
                <w:szCs w:val="36"/>
                <w:u w:val="single"/>
              </w:rPr>
            </w:pPr>
            <w:r w:rsidRPr="00205F40">
              <w:rPr>
                <w:rFonts w:ascii="Arial" w:hAnsi="Arial" w:hint="cs"/>
                <w:b/>
                <w:bCs/>
                <w:noProof w:val="0"/>
                <w:sz w:val="36"/>
                <w:szCs w:val="36"/>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A65DF9" w:rsidRDefault="00A65DF9" w:rsidP="00A65DF9">
      <w:pPr>
        <w:pStyle w:val="ad"/>
        <w:spacing w:line="360" w:lineRule="auto"/>
        <w:ind w:left="-142"/>
        <w:jc w:val="both"/>
        <w:rPr>
          <w:rFonts w:ascii="Arial" w:hAnsi="Arial"/>
          <w:noProof w:val="0"/>
        </w:rPr>
      </w:pPr>
      <w:bookmarkStart w:id="1" w:name="NGCSBookmark"/>
      <w:bookmarkEnd w:id="1"/>
      <w:r>
        <w:rPr>
          <w:rFonts w:ascii="Arial" w:hAnsi="Arial" w:hint="cs"/>
          <w:noProof w:val="0"/>
          <w:rtl/>
        </w:rPr>
        <w:lastRenderedPageBreak/>
        <w:t>החלטה בבקשה לקביעת סמכותו העניינית של בית משפט זה לדון במזונות הקטינים.</w:t>
      </w:r>
    </w:p>
    <w:p w:rsidR="00A65DF9" w:rsidRPr="00A65DF9" w:rsidRDefault="00A65DF9" w:rsidP="00A65DF9">
      <w:pPr>
        <w:pStyle w:val="ad"/>
        <w:spacing w:line="360" w:lineRule="auto"/>
        <w:ind w:left="-142"/>
        <w:jc w:val="both"/>
        <w:rPr>
          <w:rFonts w:ascii="Arial" w:hAnsi="Arial"/>
          <w:noProof w:val="0"/>
        </w:rPr>
      </w:pPr>
    </w:p>
    <w:p w:rsidR="006F5D10" w:rsidRPr="00312A2C" w:rsidRDefault="00A71ACC" w:rsidP="00312A2C">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הצדדים נשואים כדמו"י והורים לקטינים.</w:t>
      </w:r>
      <w:r w:rsidR="00A65DF9">
        <w:rPr>
          <w:rFonts w:ascii="Arial" w:hAnsi="Arial" w:hint="cs"/>
          <w:noProof w:val="0"/>
          <w:rtl/>
        </w:rPr>
        <w:t xml:space="preserve"> </w:t>
      </w:r>
      <w:r w:rsidRPr="00A65DF9">
        <w:rPr>
          <w:rFonts w:ascii="Arial" w:hAnsi="Arial" w:hint="cs"/>
          <w:noProof w:val="0"/>
          <w:rtl/>
        </w:rPr>
        <w:t>העובדות בענייננו אינן שנויו</w:t>
      </w:r>
      <w:r w:rsidR="006F5D10" w:rsidRPr="00A65DF9">
        <w:rPr>
          <w:rFonts w:ascii="Arial" w:hAnsi="Arial" w:hint="cs"/>
          <w:noProof w:val="0"/>
          <w:rtl/>
        </w:rPr>
        <w:t>ת במחלוקת:</w:t>
      </w:r>
      <w:r w:rsidR="00312A2C">
        <w:rPr>
          <w:rFonts w:ascii="Arial" w:hAnsi="Arial" w:hint="cs"/>
          <w:noProof w:val="0"/>
          <w:rtl/>
        </w:rPr>
        <w:t xml:space="preserve"> </w:t>
      </w:r>
      <w:r w:rsidR="006F5D10" w:rsidRPr="00312A2C">
        <w:rPr>
          <w:rFonts w:ascii="Arial" w:hAnsi="Arial" w:hint="cs"/>
          <w:noProof w:val="0"/>
          <w:rtl/>
        </w:rPr>
        <w:t xml:space="preserve">לאחר סגירת הליך י"ס שהתקיים בבית הדין הרבני, הגיש המשיב לבית הדין </w:t>
      </w:r>
      <w:r w:rsidR="00312A2C">
        <w:rPr>
          <w:rFonts w:ascii="Arial" w:hAnsi="Arial" w:hint="cs"/>
          <w:noProof w:val="0"/>
          <w:rtl/>
        </w:rPr>
        <w:t xml:space="preserve">הרבני </w:t>
      </w:r>
      <w:r w:rsidR="006F5D10" w:rsidRPr="00312A2C">
        <w:rPr>
          <w:rFonts w:ascii="Arial" w:hAnsi="Arial" w:hint="cs"/>
          <w:noProof w:val="0"/>
          <w:rtl/>
        </w:rPr>
        <w:t>ביום 18.9.24 תביעת גירושין אליה כרך את כל הנובע מהגירושין לרבות סוגיית מזונות הקטינים. 5</w:t>
      </w:r>
      <w:r w:rsidR="00312A2C">
        <w:rPr>
          <w:rFonts w:ascii="Arial" w:hAnsi="Arial" w:hint="cs"/>
          <w:noProof w:val="0"/>
          <w:rtl/>
        </w:rPr>
        <w:t xml:space="preserve"> ימים לאחר מ</w:t>
      </w:r>
      <w:r w:rsidR="006F5D10" w:rsidRPr="00312A2C">
        <w:rPr>
          <w:rFonts w:ascii="Arial" w:hAnsi="Arial" w:hint="cs"/>
          <w:noProof w:val="0"/>
          <w:rtl/>
        </w:rPr>
        <w:t>כן, ביום 23.9.24</w:t>
      </w:r>
      <w:r w:rsidR="00312A2C">
        <w:rPr>
          <w:rFonts w:ascii="Arial" w:hAnsi="Arial" w:hint="cs"/>
          <w:noProof w:val="0"/>
          <w:rtl/>
        </w:rPr>
        <w:t>,</w:t>
      </w:r>
      <w:r w:rsidR="006F5D10" w:rsidRPr="00312A2C">
        <w:rPr>
          <w:rFonts w:ascii="Arial" w:hAnsi="Arial" w:hint="cs"/>
          <w:noProof w:val="0"/>
          <w:rtl/>
        </w:rPr>
        <w:t xml:space="preserve"> הגישה המבקשת תביעתה דנן לפסיקת מזונות הקטינים. ביום 25.9.24 הגישה בקשתה דנן לקביעת סמכותו העניינית של בית משפט זה לדון במזונות הקטינים.</w:t>
      </w:r>
    </w:p>
    <w:p w:rsidR="006F5D10" w:rsidRDefault="006F5D10" w:rsidP="00A65DF9">
      <w:pPr>
        <w:spacing w:line="360" w:lineRule="auto"/>
        <w:ind w:left="-142" w:hanging="425"/>
        <w:jc w:val="both"/>
        <w:rPr>
          <w:rFonts w:ascii="Arial" w:hAnsi="Arial"/>
          <w:noProof w:val="0"/>
          <w:rtl/>
        </w:rPr>
      </w:pPr>
    </w:p>
    <w:p w:rsidR="00694556" w:rsidRPr="00312A2C" w:rsidRDefault="006F5D10" w:rsidP="00312A2C">
      <w:pPr>
        <w:pStyle w:val="ad"/>
        <w:numPr>
          <w:ilvl w:val="0"/>
          <w:numId w:val="3"/>
        </w:numPr>
        <w:spacing w:line="360" w:lineRule="auto"/>
        <w:ind w:left="-142" w:hanging="425"/>
        <w:jc w:val="both"/>
        <w:rPr>
          <w:rFonts w:ascii="Arial" w:hAnsi="Arial"/>
          <w:noProof w:val="0"/>
          <w:rtl/>
        </w:rPr>
      </w:pPr>
      <w:r w:rsidRPr="00205F40">
        <w:rPr>
          <w:rFonts w:ascii="Arial" w:hAnsi="Arial" w:hint="cs"/>
          <w:noProof w:val="0"/>
          <w:u w:val="single"/>
          <w:rtl/>
        </w:rPr>
        <w:t>טענות המבקשת</w:t>
      </w:r>
      <w:r w:rsidR="00312A2C">
        <w:rPr>
          <w:rFonts w:ascii="Arial" w:hAnsi="Arial" w:hint="cs"/>
          <w:noProof w:val="0"/>
          <w:rtl/>
        </w:rPr>
        <w:t xml:space="preserve"> - </w:t>
      </w:r>
      <w:r w:rsidR="004C054A" w:rsidRPr="00312A2C">
        <w:rPr>
          <w:rFonts w:ascii="Arial" w:hAnsi="Arial" w:hint="cs"/>
          <w:noProof w:val="0"/>
          <w:rtl/>
        </w:rPr>
        <w:t>לטענת המבקשת, לפי הלכת בית המשפט העליון בעניין "</w:t>
      </w:r>
      <w:r w:rsidR="004C054A" w:rsidRPr="00312A2C">
        <w:rPr>
          <w:rFonts w:ascii="Arial" w:hAnsi="Arial" w:hint="cs"/>
          <w:b/>
          <w:bCs/>
          <w:noProof w:val="0"/>
          <w:rtl/>
        </w:rPr>
        <w:t>שרגאי</w:t>
      </w:r>
      <w:r w:rsidR="004C054A" w:rsidRPr="00312A2C">
        <w:rPr>
          <w:rFonts w:ascii="Arial" w:hAnsi="Arial" w:hint="cs"/>
          <w:noProof w:val="0"/>
          <w:rtl/>
        </w:rPr>
        <w:t>" (</w:t>
      </w:r>
      <w:r w:rsidR="007B4834" w:rsidRPr="00312A2C">
        <w:rPr>
          <w:rFonts w:ascii="Arial" w:hAnsi="Arial" w:hint="cs"/>
          <w:noProof w:val="0"/>
          <w:rtl/>
        </w:rPr>
        <w:t>בר"ע</w:t>
      </w:r>
      <w:r w:rsidR="004C054A" w:rsidRPr="00312A2C">
        <w:rPr>
          <w:rFonts w:ascii="Arial" w:hAnsi="Arial" w:hint="cs"/>
          <w:noProof w:val="0"/>
          <w:rtl/>
        </w:rPr>
        <w:t xml:space="preserve"> 120/69</w:t>
      </w:r>
      <w:r w:rsidR="00312A2C">
        <w:rPr>
          <w:rFonts w:ascii="Arial" w:hAnsi="Arial" w:hint="cs"/>
          <w:noProof w:val="0"/>
          <w:rtl/>
        </w:rPr>
        <w:t xml:space="preserve"> </w:t>
      </w:r>
      <w:r w:rsidR="00312A2C" w:rsidRPr="00312A2C">
        <w:rPr>
          <w:rFonts w:ascii="Arial" w:hAnsi="Arial" w:hint="cs"/>
          <w:b/>
          <w:bCs/>
          <w:noProof w:val="0"/>
          <w:rtl/>
        </w:rPr>
        <w:t>רות שרגאי נ' יהודה שרגאי</w:t>
      </w:r>
      <w:r w:rsidR="004C054A" w:rsidRPr="00312A2C">
        <w:rPr>
          <w:rFonts w:ascii="Arial" w:hAnsi="Arial" w:hint="cs"/>
          <w:noProof w:val="0"/>
          <w:rtl/>
        </w:rPr>
        <w:t xml:space="preserve">, פ"ד כג(2) 171, להלן </w:t>
      </w:r>
      <w:r w:rsidR="00AE0933">
        <w:rPr>
          <w:rFonts w:ascii="Arial" w:hAnsi="Arial" w:hint="cs"/>
          <w:noProof w:val="0"/>
          <w:rtl/>
        </w:rPr>
        <w:t xml:space="preserve">- </w:t>
      </w:r>
      <w:r w:rsidR="004C054A" w:rsidRPr="00312A2C">
        <w:rPr>
          <w:rFonts w:ascii="Arial" w:hAnsi="Arial" w:hint="cs"/>
          <w:noProof w:val="0"/>
          <w:rtl/>
        </w:rPr>
        <w:t>"</w:t>
      </w:r>
      <w:r w:rsidR="004C054A" w:rsidRPr="00312A2C">
        <w:rPr>
          <w:rFonts w:ascii="Arial" w:hAnsi="Arial" w:hint="cs"/>
          <w:b/>
          <w:bCs/>
          <w:noProof w:val="0"/>
          <w:rtl/>
        </w:rPr>
        <w:t>שרגאי</w:t>
      </w:r>
      <w:r w:rsidR="004C054A" w:rsidRPr="00312A2C">
        <w:rPr>
          <w:rFonts w:ascii="Arial" w:hAnsi="Arial" w:hint="cs"/>
          <w:noProof w:val="0"/>
          <w:rtl/>
        </w:rPr>
        <w:t xml:space="preserve">"), לקטינים נתונה זכות תביעה עצמאית לבית משפט זה חרף כריכת מזונות הקטינים בתביעת הגירושין. המבקשת מוסיפה כי הלכת </w:t>
      </w:r>
      <w:r w:rsidR="00312A2C">
        <w:rPr>
          <w:rFonts w:ascii="Arial" w:hAnsi="Arial" w:hint="cs"/>
          <w:noProof w:val="0"/>
          <w:rtl/>
        </w:rPr>
        <w:t>"</w:t>
      </w:r>
      <w:r w:rsidR="004C054A" w:rsidRPr="00205F40">
        <w:rPr>
          <w:rFonts w:ascii="Arial" w:hAnsi="Arial" w:hint="cs"/>
          <w:b/>
          <w:bCs/>
          <w:noProof w:val="0"/>
          <w:rtl/>
        </w:rPr>
        <w:t>שרגאי</w:t>
      </w:r>
      <w:r w:rsidR="00312A2C">
        <w:rPr>
          <w:rFonts w:ascii="Arial" w:hAnsi="Arial" w:hint="cs"/>
          <w:noProof w:val="0"/>
          <w:rtl/>
        </w:rPr>
        <w:t>"</w:t>
      </w:r>
      <w:r w:rsidR="004C054A" w:rsidRPr="00312A2C">
        <w:rPr>
          <w:rFonts w:ascii="Arial" w:hAnsi="Arial" w:hint="cs"/>
          <w:noProof w:val="0"/>
          <w:rtl/>
        </w:rPr>
        <w:t xml:space="preserve"> מוסיפה לעמוד במלוא תוקפה עד היום, ומפנה לפסק דינו של בית המשפט העליון בבע"מ 7628/17 </w:t>
      </w:r>
      <w:r w:rsidR="004C054A" w:rsidRPr="00312A2C">
        <w:rPr>
          <w:rFonts w:ascii="Arial" w:hAnsi="Arial" w:hint="cs"/>
          <w:b/>
          <w:bCs/>
          <w:noProof w:val="0"/>
          <w:rtl/>
        </w:rPr>
        <w:t>פלוני נ' פלונית</w:t>
      </w:r>
      <w:r w:rsidR="004C054A" w:rsidRPr="00312A2C">
        <w:rPr>
          <w:rFonts w:ascii="Arial" w:hAnsi="Arial" w:hint="cs"/>
          <w:noProof w:val="0"/>
          <w:rtl/>
        </w:rPr>
        <w:t xml:space="preserve"> (מיום 22.9.19, להלן </w:t>
      </w:r>
      <w:r w:rsidR="004C054A" w:rsidRPr="00312A2C">
        <w:rPr>
          <w:rFonts w:ascii="Arial" w:hAnsi="Arial"/>
          <w:noProof w:val="0"/>
          <w:rtl/>
        </w:rPr>
        <w:t>–</w:t>
      </w:r>
      <w:r w:rsidR="004C054A" w:rsidRPr="00312A2C">
        <w:rPr>
          <w:rFonts w:ascii="Arial" w:hAnsi="Arial" w:hint="cs"/>
          <w:noProof w:val="0"/>
          <w:rtl/>
        </w:rPr>
        <w:t xml:space="preserve"> "</w:t>
      </w:r>
      <w:r w:rsidR="004C054A" w:rsidRPr="00312A2C">
        <w:rPr>
          <w:rFonts w:ascii="Arial" w:hAnsi="Arial" w:hint="cs"/>
          <w:b/>
          <w:bCs/>
          <w:noProof w:val="0"/>
          <w:rtl/>
        </w:rPr>
        <w:t>פלוני</w:t>
      </w:r>
      <w:r w:rsidR="004C054A" w:rsidRPr="00312A2C">
        <w:rPr>
          <w:rFonts w:ascii="Arial" w:hAnsi="Arial" w:hint="cs"/>
          <w:noProof w:val="0"/>
          <w:rtl/>
        </w:rPr>
        <w:t>").</w:t>
      </w:r>
      <w:r w:rsidR="007B35DE" w:rsidRPr="00312A2C">
        <w:rPr>
          <w:rFonts w:ascii="Arial" w:hAnsi="Arial" w:hint="cs"/>
          <w:noProof w:val="0"/>
          <w:rtl/>
        </w:rPr>
        <w:t xml:space="preserve"> מבוקש </w:t>
      </w:r>
      <w:r w:rsidR="00312A2C">
        <w:rPr>
          <w:rFonts w:ascii="Arial" w:hAnsi="Arial" w:hint="cs"/>
          <w:noProof w:val="0"/>
          <w:rtl/>
        </w:rPr>
        <w:t>לק</w:t>
      </w:r>
      <w:r w:rsidR="007B35DE" w:rsidRPr="00312A2C">
        <w:rPr>
          <w:rFonts w:ascii="Arial" w:hAnsi="Arial" w:hint="cs"/>
          <w:noProof w:val="0"/>
          <w:rtl/>
        </w:rPr>
        <w:t>ב</w:t>
      </w:r>
      <w:r w:rsidR="00312A2C">
        <w:rPr>
          <w:rFonts w:ascii="Arial" w:hAnsi="Arial" w:hint="cs"/>
          <w:noProof w:val="0"/>
          <w:rtl/>
        </w:rPr>
        <w:t>ו</w:t>
      </w:r>
      <w:r w:rsidR="007B35DE" w:rsidRPr="00312A2C">
        <w:rPr>
          <w:rFonts w:ascii="Arial" w:hAnsi="Arial" w:hint="cs"/>
          <w:noProof w:val="0"/>
          <w:rtl/>
        </w:rPr>
        <w:t>ע אפוא כי מתוקף הלכת בית משפט העליון, הסמכות העניינית לדון בתובענה נתונה לבית משפט זה.</w:t>
      </w:r>
    </w:p>
    <w:p w:rsidR="007B35DE" w:rsidRDefault="007B35DE" w:rsidP="00A65DF9">
      <w:pPr>
        <w:spacing w:line="360" w:lineRule="auto"/>
        <w:ind w:left="-142" w:hanging="425"/>
        <w:jc w:val="both"/>
        <w:rPr>
          <w:rFonts w:ascii="Arial" w:hAnsi="Arial"/>
          <w:noProof w:val="0"/>
          <w:rtl/>
        </w:rPr>
      </w:pPr>
    </w:p>
    <w:p w:rsidR="007B35DE" w:rsidRPr="00312A2C" w:rsidRDefault="007B35DE" w:rsidP="00312A2C">
      <w:pPr>
        <w:pStyle w:val="ad"/>
        <w:numPr>
          <w:ilvl w:val="0"/>
          <w:numId w:val="3"/>
        </w:numPr>
        <w:spacing w:line="360" w:lineRule="auto"/>
        <w:ind w:left="-142" w:hanging="425"/>
        <w:jc w:val="both"/>
        <w:rPr>
          <w:rFonts w:ascii="Arial" w:hAnsi="Arial"/>
          <w:noProof w:val="0"/>
          <w:rtl/>
        </w:rPr>
      </w:pPr>
      <w:r w:rsidRPr="00205F40">
        <w:rPr>
          <w:rFonts w:ascii="Arial" w:hAnsi="Arial" w:hint="cs"/>
          <w:noProof w:val="0"/>
          <w:u w:val="single"/>
          <w:rtl/>
        </w:rPr>
        <w:t>טענות המשיב</w:t>
      </w:r>
      <w:r w:rsidR="00312A2C">
        <w:rPr>
          <w:rFonts w:ascii="Arial" w:hAnsi="Arial" w:hint="cs"/>
          <w:noProof w:val="0"/>
          <w:rtl/>
        </w:rPr>
        <w:t xml:space="preserve"> - </w:t>
      </w:r>
      <w:r w:rsidRPr="00312A2C">
        <w:rPr>
          <w:rFonts w:ascii="Arial" w:hAnsi="Arial" w:hint="cs"/>
          <w:noProof w:val="0"/>
          <w:rtl/>
        </w:rPr>
        <w:t xml:space="preserve">המשיב מבסס את עמדתו על הלכת בית משפט העליון בעניין </w:t>
      </w:r>
      <w:r w:rsidR="00312A2C">
        <w:rPr>
          <w:rFonts w:ascii="Arial" w:hAnsi="Arial" w:hint="cs"/>
          <w:noProof w:val="0"/>
          <w:rtl/>
        </w:rPr>
        <w:t>"</w:t>
      </w:r>
      <w:r w:rsidR="00312A2C" w:rsidRPr="00312A2C">
        <w:rPr>
          <w:rFonts w:ascii="Arial" w:hAnsi="Arial" w:hint="cs"/>
          <w:b/>
          <w:bCs/>
          <w:noProof w:val="0"/>
          <w:rtl/>
        </w:rPr>
        <w:t>פלמן</w:t>
      </w:r>
      <w:r w:rsidR="00312A2C">
        <w:rPr>
          <w:rFonts w:ascii="Arial" w:hAnsi="Arial" w:hint="cs"/>
          <w:noProof w:val="0"/>
          <w:rtl/>
        </w:rPr>
        <w:t>" (</w:t>
      </w:r>
      <w:r w:rsidR="005E2A74" w:rsidRPr="00312A2C">
        <w:rPr>
          <w:rFonts w:ascii="Arial" w:hAnsi="Arial" w:hint="cs"/>
          <w:noProof w:val="0"/>
          <w:rtl/>
        </w:rPr>
        <w:t xml:space="preserve">בג"ץ 8497/00 </w:t>
      </w:r>
      <w:r w:rsidR="005E2A74" w:rsidRPr="00312A2C">
        <w:rPr>
          <w:rFonts w:ascii="Arial" w:hAnsi="Arial" w:hint="cs"/>
          <w:b/>
          <w:bCs/>
          <w:noProof w:val="0"/>
          <w:rtl/>
        </w:rPr>
        <w:t>פייג-פלמן נ' פלמן</w:t>
      </w:r>
      <w:r w:rsidR="005E2A74" w:rsidRPr="00312A2C">
        <w:rPr>
          <w:rFonts w:ascii="Arial" w:hAnsi="Arial" w:hint="cs"/>
          <w:noProof w:val="0"/>
          <w:rtl/>
        </w:rPr>
        <w:t xml:space="preserve">, </w:t>
      </w:r>
      <w:r w:rsidR="005E2A74" w:rsidRPr="00312A2C">
        <w:rPr>
          <w:rFonts w:ascii="Arial" w:hAnsi="Arial"/>
          <w:noProof w:val="0"/>
          <w:rtl/>
        </w:rPr>
        <w:t>פ''ד נז(2) 118</w:t>
      </w:r>
      <w:r w:rsidR="005E2A74" w:rsidRPr="00312A2C">
        <w:rPr>
          <w:rFonts w:ascii="Arial" w:hAnsi="Arial" w:hint="cs"/>
          <w:noProof w:val="0"/>
          <w:rtl/>
        </w:rPr>
        <w:t>, להלן – "</w:t>
      </w:r>
      <w:r w:rsidR="005E2A74" w:rsidRPr="00312A2C">
        <w:rPr>
          <w:rFonts w:ascii="Arial" w:hAnsi="Arial" w:hint="cs"/>
          <w:b/>
          <w:bCs/>
          <w:noProof w:val="0"/>
          <w:rtl/>
        </w:rPr>
        <w:t>פלמן</w:t>
      </w:r>
      <w:r w:rsidR="005E2A74" w:rsidRPr="00312A2C">
        <w:rPr>
          <w:rFonts w:ascii="Arial" w:hAnsi="Arial" w:hint="cs"/>
          <w:noProof w:val="0"/>
          <w:rtl/>
        </w:rPr>
        <w:t>")</w:t>
      </w:r>
      <w:r w:rsidR="00312A2C">
        <w:rPr>
          <w:rFonts w:ascii="Arial" w:hAnsi="Arial" w:hint="cs"/>
          <w:noProof w:val="0"/>
          <w:rtl/>
        </w:rPr>
        <w:t xml:space="preserve"> </w:t>
      </w:r>
      <w:r w:rsidRPr="00312A2C">
        <w:rPr>
          <w:rFonts w:ascii="Arial" w:hAnsi="Arial" w:hint="cs"/>
          <w:noProof w:val="0"/>
          <w:rtl/>
        </w:rPr>
        <w:t xml:space="preserve">ועל </w:t>
      </w:r>
      <w:r w:rsidR="00312A2C">
        <w:rPr>
          <w:rFonts w:ascii="Arial" w:hAnsi="Arial" w:hint="cs"/>
          <w:noProof w:val="0"/>
          <w:rtl/>
        </w:rPr>
        <w:t xml:space="preserve">עקרון הכיבוד </w:t>
      </w:r>
      <w:r w:rsidRPr="00312A2C">
        <w:rPr>
          <w:rFonts w:ascii="Arial" w:hAnsi="Arial" w:hint="cs"/>
          <w:noProof w:val="0"/>
          <w:rtl/>
        </w:rPr>
        <w:t>ההדדי</w:t>
      </w:r>
      <w:r w:rsidR="00312A2C">
        <w:rPr>
          <w:rFonts w:ascii="Arial" w:hAnsi="Arial" w:hint="cs"/>
          <w:noProof w:val="0"/>
          <w:rtl/>
        </w:rPr>
        <w:t xml:space="preserve"> בין ערכאות</w:t>
      </w:r>
      <w:r w:rsidRPr="00312A2C">
        <w:rPr>
          <w:rFonts w:ascii="Arial" w:hAnsi="Arial" w:hint="cs"/>
          <w:noProof w:val="0"/>
          <w:rtl/>
        </w:rPr>
        <w:t>. לטענתו הקדים והגיש תביעת גירושין אליה כרך כדין את עניין מזונות הקטינים. כמו כן, יום למחרת הגשת תביעת הגירושין "</w:t>
      </w:r>
      <w:r w:rsidRPr="00312A2C">
        <w:rPr>
          <w:rFonts w:ascii="Arial" w:hAnsi="Arial" w:hint="cs"/>
          <w:b/>
          <w:bCs/>
          <w:noProof w:val="0"/>
          <w:rtl/>
        </w:rPr>
        <w:t xml:space="preserve">האישה בעצמה הגישה לביה"ד בקשה שעניינה </w:t>
      </w:r>
      <w:r w:rsidRPr="00312A2C">
        <w:rPr>
          <w:rFonts w:ascii="Arial" w:hAnsi="Arial" w:hint="cs"/>
          <w:b/>
          <w:bCs/>
          <w:noProof w:val="0"/>
          <w:u w:val="single"/>
          <w:rtl/>
        </w:rPr>
        <w:t>מדור הילדים</w:t>
      </w:r>
      <w:r w:rsidRPr="00312A2C">
        <w:rPr>
          <w:rFonts w:ascii="Arial" w:hAnsi="Arial" w:hint="cs"/>
          <w:b/>
          <w:bCs/>
          <w:noProof w:val="0"/>
          <w:rtl/>
        </w:rPr>
        <w:t xml:space="preserve"> וחיוב האב בתשלומי המשכנתא בדירה </w:t>
      </w:r>
      <w:r w:rsidRPr="00312A2C">
        <w:rPr>
          <w:rFonts w:ascii="Arial" w:hAnsi="Arial" w:hint="cs"/>
          <w:b/>
          <w:bCs/>
          <w:noProof w:val="0"/>
          <w:rtl/>
        </w:rPr>
        <w:lastRenderedPageBreak/>
        <w:t>בה נותרה להתגורר</w:t>
      </w:r>
      <w:r w:rsidRPr="00312A2C">
        <w:rPr>
          <w:rFonts w:ascii="Arial" w:hAnsi="Arial" w:hint="cs"/>
          <w:noProof w:val="0"/>
          <w:rtl/>
        </w:rPr>
        <w:t>". אף על פי כן הגישה תביעתה דנן בהעדר סמכות עניינית</w:t>
      </w:r>
      <w:r w:rsidR="00FF240F" w:rsidRPr="00312A2C">
        <w:rPr>
          <w:rFonts w:ascii="Arial" w:hAnsi="Arial" w:hint="cs"/>
          <w:noProof w:val="0"/>
          <w:rtl/>
        </w:rPr>
        <w:t xml:space="preserve"> ואף הסתירה מבית המשפט שהגישה לבית הדין בקשה בעניין </w:t>
      </w:r>
      <w:r w:rsidR="00FF240F" w:rsidRPr="00312A2C">
        <w:rPr>
          <w:rFonts w:ascii="Arial" w:hAnsi="Arial" w:hint="cs"/>
          <w:noProof w:val="0"/>
          <w:u w:val="single"/>
          <w:rtl/>
        </w:rPr>
        <w:t>מדור הקטינים</w:t>
      </w:r>
      <w:r w:rsidR="00FF240F" w:rsidRPr="00312A2C">
        <w:rPr>
          <w:rFonts w:ascii="Arial" w:hAnsi="Arial" w:hint="cs"/>
          <w:noProof w:val="0"/>
          <w:rtl/>
        </w:rPr>
        <w:t xml:space="preserve"> כאמור</w:t>
      </w:r>
      <w:r w:rsidRPr="00312A2C">
        <w:rPr>
          <w:rFonts w:ascii="Arial" w:hAnsi="Arial" w:hint="cs"/>
          <w:noProof w:val="0"/>
          <w:rtl/>
        </w:rPr>
        <w:t>. לדבריו הגיש תגובתו לביה"ד ודרש ממנו לקבוע כי הסמכות העניינית נתונה לו מתוקף הלכת "</w:t>
      </w:r>
      <w:r w:rsidRPr="001615E7">
        <w:rPr>
          <w:rFonts w:ascii="Arial" w:hAnsi="Arial" w:hint="cs"/>
          <w:b/>
          <w:bCs/>
          <w:noProof w:val="0"/>
          <w:rtl/>
        </w:rPr>
        <w:t>פלמן</w:t>
      </w:r>
      <w:r w:rsidRPr="00312A2C">
        <w:rPr>
          <w:rFonts w:ascii="Arial" w:hAnsi="Arial" w:hint="cs"/>
          <w:noProof w:val="0"/>
          <w:rtl/>
        </w:rPr>
        <w:t xml:space="preserve">". לטענתו עוד, </w:t>
      </w:r>
      <w:r w:rsidR="008F753E" w:rsidRPr="00312A2C">
        <w:rPr>
          <w:rFonts w:ascii="Arial" w:hAnsi="Arial" w:hint="cs"/>
          <w:noProof w:val="0"/>
          <w:rtl/>
        </w:rPr>
        <w:t>בית הדין הרבני הגדול דן בסוג</w:t>
      </w:r>
      <w:r w:rsidR="00FF240F" w:rsidRPr="00312A2C">
        <w:rPr>
          <w:rFonts w:ascii="Arial" w:hAnsi="Arial" w:hint="cs"/>
          <w:noProof w:val="0"/>
          <w:rtl/>
        </w:rPr>
        <w:t>יה ומצא כי הלכות "</w:t>
      </w:r>
      <w:r w:rsidR="00FF240F" w:rsidRPr="001615E7">
        <w:rPr>
          <w:rFonts w:ascii="Arial" w:hAnsi="Arial" w:hint="cs"/>
          <w:b/>
          <w:bCs/>
          <w:noProof w:val="0"/>
          <w:rtl/>
        </w:rPr>
        <w:t>שרגאי</w:t>
      </w:r>
      <w:r w:rsidR="00FF240F" w:rsidRPr="00312A2C">
        <w:rPr>
          <w:rFonts w:ascii="Arial" w:hAnsi="Arial" w:hint="cs"/>
          <w:noProof w:val="0"/>
          <w:rtl/>
        </w:rPr>
        <w:t>" ו"</w:t>
      </w:r>
      <w:r w:rsidR="00FF240F" w:rsidRPr="001615E7">
        <w:rPr>
          <w:rFonts w:ascii="Arial" w:hAnsi="Arial" w:hint="cs"/>
          <w:b/>
          <w:bCs/>
          <w:noProof w:val="0"/>
          <w:rtl/>
        </w:rPr>
        <w:t>פלוני</w:t>
      </w:r>
      <w:r w:rsidR="00FF240F" w:rsidRPr="00312A2C">
        <w:rPr>
          <w:rFonts w:ascii="Arial" w:hAnsi="Arial" w:hint="cs"/>
          <w:noProof w:val="0"/>
          <w:rtl/>
        </w:rPr>
        <w:t>"</w:t>
      </w:r>
      <w:r w:rsidR="00312A2C">
        <w:rPr>
          <w:rFonts w:ascii="Arial" w:hAnsi="Arial" w:hint="cs"/>
          <w:noProof w:val="0"/>
          <w:rtl/>
        </w:rPr>
        <w:t xml:space="preserve"> אינן שול</w:t>
      </w:r>
      <w:r w:rsidR="00254030">
        <w:rPr>
          <w:rFonts w:ascii="Arial" w:hAnsi="Arial" w:hint="cs"/>
          <w:noProof w:val="0"/>
          <w:rtl/>
        </w:rPr>
        <w:t>ל</w:t>
      </w:r>
      <w:r w:rsidR="00312A2C">
        <w:rPr>
          <w:rFonts w:ascii="Arial" w:hAnsi="Arial" w:hint="cs"/>
          <w:noProof w:val="0"/>
          <w:rtl/>
        </w:rPr>
        <w:t>ות את סמכות בתי</w:t>
      </w:r>
      <w:r w:rsidR="00FF240F" w:rsidRPr="00312A2C">
        <w:rPr>
          <w:rFonts w:ascii="Arial" w:hAnsi="Arial" w:hint="cs"/>
          <w:noProof w:val="0"/>
          <w:rtl/>
        </w:rPr>
        <w:t xml:space="preserve"> הדין</w:t>
      </w:r>
      <w:r w:rsidR="00312A2C">
        <w:rPr>
          <w:rFonts w:ascii="Arial" w:hAnsi="Arial" w:hint="cs"/>
          <w:noProof w:val="0"/>
          <w:rtl/>
        </w:rPr>
        <w:t xml:space="preserve"> הרבניים</w:t>
      </w:r>
      <w:r w:rsidR="00FF240F" w:rsidRPr="00312A2C">
        <w:rPr>
          <w:rFonts w:ascii="Arial" w:hAnsi="Arial" w:hint="cs"/>
          <w:noProof w:val="0"/>
          <w:rtl/>
        </w:rPr>
        <w:t xml:space="preserve"> לדון במזונות ילדים. המשיב מוסיף כי אינו איש מדון ורואה לנגד עיניו סיום מהיר של הסכסוך. כמו כן העביר לידי המבקשת מזונות ללא צו שיפוטי.</w:t>
      </w:r>
    </w:p>
    <w:p w:rsidR="007B7E62" w:rsidRDefault="007B7E62" w:rsidP="00A65DF9">
      <w:pPr>
        <w:spacing w:line="360" w:lineRule="auto"/>
        <w:ind w:left="-142" w:hanging="425"/>
        <w:jc w:val="both"/>
        <w:rPr>
          <w:rFonts w:ascii="Arial" w:hAnsi="Arial"/>
          <w:noProof w:val="0"/>
          <w:rtl/>
        </w:rPr>
      </w:pPr>
    </w:p>
    <w:p w:rsidR="007B7E62" w:rsidRPr="00473615" w:rsidRDefault="007B7E62" w:rsidP="00473615">
      <w:pPr>
        <w:pStyle w:val="ad"/>
        <w:spacing w:line="360" w:lineRule="auto"/>
        <w:ind w:left="-426"/>
        <w:jc w:val="both"/>
        <w:rPr>
          <w:rFonts w:ascii="Arial" w:hAnsi="Arial"/>
          <w:b/>
          <w:bCs/>
          <w:noProof w:val="0"/>
          <w:sz w:val="26"/>
          <w:szCs w:val="26"/>
          <w:u w:val="single"/>
          <w:rtl/>
        </w:rPr>
      </w:pPr>
      <w:r w:rsidRPr="00473615">
        <w:rPr>
          <w:rFonts w:ascii="Arial" w:hAnsi="Arial" w:hint="cs"/>
          <w:b/>
          <w:bCs/>
          <w:noProof w:val="0"/>
          <w:sz w:val="26"/>
          <w:szCs w:val="26"/>
          <w:u w:val="single"/>
          <w:rtl/>
        </w:rPr>
        <w:t>דיון והכרעה</w:t>
      </w:r>
    </w:p>
    <w:p w:rsidR="007B7E62" w:rsidRDefault="007B7E62" w:rsidP="00A65DF9">
      <w:pPr>
        <w:spacing w:line="360" w:lineRule="auto"/>
        <w:ind w:left="-142" w:hanging="425"/>
        <w:jc w:val="both"/>
        <w:rPr>
          <w:rFonts w:ascii="Arial" w:hAnsi="Arial"/>
          <w:noProof w:val="0"/>
          <w:rtl/>
        </w:rPr>
      </w:pPr>
    </w:p>
    <w:p w:rsidR="007B7E62" w:rsidRPr="00A65DF9" w:rsidRDefault="007B7E62" w:rsidP="00A65DF9">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לאחר עיון בטענות הצדדים, אני קובעת כי הדין עם המבקשת, והסמכות העניינית לדון במזונות הקטינים נתונה לבית משפט זה.</w:t>
      </w:r>
    </w:p>
    <w:p w:rsidR="008F753E" w:rsidRDefault="008F753E" w:rsidP="00A65DF9">
      <w:pPr>
        <w:spacing w:line="360" w:lineRule="auto"/>
        <w:ind w:left="-142" w:hanging="425"/>
        <w:jc w:val="both"/>
        <w:rPr>
          <w:rFonts w:ascii="Arial" w:hAnsi="Arial"/>
          <w:noProof w:val="0"/>
          <w:rtl/>
        </w:rPr>
      </w:pPr>
    </w:p>
    <w:p w:rsidR="008F753E" w:rsidRPr="00A65DF9" w:rsidRDefault="008F753E" w:rsidP="001615E7">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 xml:space="preserve">השאלה האם מוסמך בית הדין הרבני לדון בתביעה למזונות קטינים, באיזה היקף ובאיזה אופן, מעסיקה את שיטת המשפט בישראל עשרות בשנים. ענייננו באחת מתוך מספר זירות-משנה בהן </w:t>
      </w:r>
      <w:r w:rsidR="001615E7">
        <w:rPr>
          <w:rFonts w:ascii="Arial" w:hAnsi="Arial" w:hint="cs"/>
          <w:noProof w:val="0"/>
          <w:rtl/>
        </w:rPr>
        <w:t>מתעוררת</w:t>
      </w:r>
      <w:r w:rsidRPr="00A65DF9">
        <w:rPr>
          <w:rFonts w:ascii="Arial" w:hAnsi="Arial" w:hint="cs"/>
          <w:noProof w:val="0"/>
          <w:rtl/>
        </w:rPr>
        <w:t xml:space="preserve"> המחלוקת, והיא זכותו העצמאית של קטין לתבוע את מזונותיו, לעומת כריכת מזונות הקטין כדין בתביעת גירושין המוגשת לבית הדין הרבני.</w:t>
      </w:r>
      <w:r w:rsidR="007B4834" w:rsidRPr="00A65DF9">
        <w:rPr>
          <w:rFonts w:ascii="Arial" w:hAnsi="Arial" w:hint="cs"/>
          <w:noProof w:val="0"/>
          <w:rtl/>
        </w:rPr>
        <w:t xml:space="preserve"> לשון אחר, ענייננו במזונות קטינים שנכרכו בתביעת גירושין בהתאם לסעיף 3 לחוק שיפוט בתי דין רבניים (נישואין וגירושין), תשי"ג-1953 (להלן </w:t>
      </w:r>
      <w:r w:rsidR="007B4834" w:rsidRPr="00A65DF9">
        <w:rPr>
          <w:rFonts w:ascii="Arial" w:hAnsi="Arial"/>
          <w:noProof w:val="0"/>
          <w:rtl/>
        </w:rPr>
        <w:t>–</w:t>
      </w:r>
      <w:r w:rsidR="007B4834" w:rsidRPr="00A65DF9">
        <w:rPr>
          <w:rFonts w:ascii="Arial" w:hAnsi="Arial" w:hint="cs"/>
          <w:noProof w:val="0"/>
          <w:rtl/>
        </w:rPr>
        <w:t xml:space="preserve"> "</w:t>
      </w:r>
      <w:r w:rsidR="007B4834" w:rsidRPr="00473615">
        <w:rPr>
          <w:rFonts w:ascii="Arial" w:hAnsi="Arial" w:hint="cs"/>
          <w:b/>
          <w:bCs/>
          <w:noProof w:val="0"/>
          <w:rtl/>
        </w:rPr>
        <w:t>חוק שיפוט בתי דין רבניים</w:t>
      </w:r>
      <w:r w:rsidR="007B4834" w:rsidRPr="00A65DF9">
        <w:rPr>
          <w:rFonts w:ascii="Arial" w:hAnsi="Arial" w:hint="cs"/>
          <w:noProof w:val="0"/>
          <w:rtl/>
        </w:rPr>
        <w:t>"). זאת להבדיל ממזונות קטינים הנדונים בבית הדין הרבני מתוקף הסכמת הצדדים ובהתאם לסעיף 9 לחוק שיפוט בתי דין רבניים.</w:t>
      </w:r>
    </w:p>
    <w:p w:rsidR="007B4834" w:rsidRDefault="007B4834" w:rsidP="00A65DF9">
      <w:pPr>
        <w:spacing w:line="360" w:lineRule="auto"/>
        <w:ind w:left="-142" w:hanging="425"/>
        <w:jc w:val="both"/>
        <w:rPr>
          <w:rFonts w:ascii="Arial" w:hAnsi="Arial"/>
          <w:noProof w:val="0"/>
          <w:rtl/>
        </w:rPr>
      </w:pPr>
    </w:p>
    <w:p w:rsidR="00200E68" w:rsidRPr="00A65DF9" w:rsidRDefault="007B4834" w:rsidP="00A65DF9">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lastRenderedPageBreak/>
        <w:t>בזירת המחלוקת בענייננו, הלכת בית המשפט ברורה, ולידתה בהלכת "</w:t>
      </w:r>
      <w:r w:rsidRPr="00473615">
        <w:rPr>
          <w:rFonts w:ascii="Arial" w:hAnsi="Arial" w:hint="cs"/>
          <w:b/>
          <w:bCs/>
          <w:noProof w:val="0"/>
          <w:rtl/>
        </w:rPr>
        <w:t>שרגאי</w:t>
      </w:r>
      <w:r w:rsidRPr="00A65DF9">
        <w:rPr>
          <w:rFonts w:ascii="Arial" w:hAnsi="Arial" w:hint="cs"/>
          <w:noProof w:val="0"/>
          <w:rtl/>
        </w:rPr>
        <w:t>". אמנם יש ממש בטענת המשיב כי כריכת מזונות הקטינים בתביעת הגירושין נעשתה מתוקף סעיף 3 לחוק שיפוט בתי דין רבניים</w:t>
      </w:r>
      <w:r w:rsidR="00200E68" w:rsidRPr="00A65DF9">
        <w:rPr>
          <w:rFonts w:ascii="Arial" w:hAnsi="Arial" w:hint="cs"/>
          <w:noProof w:val="0"/>
          <w:rtl/>
        </w:rPr>
        <w:t xml:space="preserve">, המורה במפורש כי </w:t>
      </w:r>
      <w:r w:rsidR="00200E68" w:rsidRPr="00A65DF9">
        <w:rPr>
          <w:rFonts w:ascii="Arial" w:hAnsi="Arial"/>
          <w:noProof w:val="0"/>
          <w:rtl/>
        </w:rPr>
        <w:t>"</w:t>
      </w:r>
      <w:r w:rsidR="00200E68" w:rsidRPr="00473615">
        <w:rPr>
          <w:rFonts w:ascii="Arial" w:hAnsi="Arial" w:hint="cs"/>
          <w:b/>
          <w:bCs/>
          <w:noProof w:val="0"/>
          <w:rtl/>
        </w:rPr>
        <w:t>י</w:t>
      </w:r>
      <w:r w:rsidR="00200E68" w:rsidRPr="00473615">
        <w:rPr>
          <w:rFonts w:ascii="Arial" w:hAnsi="Arial"/>
          <w:b/>
          <w:bCs/>
          <w:noProof w:val="0"/>
          <w:rtl/>
        </w:rPr>
        <w:t>הא לבית דין רבני שיפוט יחודי בכל ענין הכרוך בתביעת הגירושין, לרבות מזונות לאשה ולילדי הזוג</w:t>
      </w:r>
      <w:r w:rsidR="00200E68" w:rsidRPr="00A65DF9">
        <w:rPr>
          <w:rFonts w:ascii="Arial" w:hAnsi="Arial"/>
          <w:noProof w:val="0"/>
          <w:rtl/>
        </w:rPr>
        <w:t>"</w:t>
      </w:r>
      <w:r w:rsidR="00200E68" w:rsidRPr="00A65DF9">
        <w:rPr>
          <w:rFonts w:ascii="Arial" w:hAnsi="Arial" w:hint="cs"/>
          <w:noProof w:val="0"/>
          <w:rtl/>
        </w:rPr>
        <w:t xml:space="preserve">. עם זאת, </w:t>
      </w:r>
      <w:r w:rsidR="001615E7">
        <w:rPr>
          <w:rFonts w:ascii="Arial" w:hAnsi="Arial" w:hint="cs"/>
          <w:noProof w:val="0"/>
          <w:rtl/>
        </w:rPr>
        <w:t>בהלכת "</w:t>
      </w:r>
      <w:r w:rsidR="001615E7" w:rsidRPr="001615E7">
        <w:rPr>
          <w:rFonts w:ascii="Arial" w:hAnsi="Arial" w:hint="cs"/>
          <w:b/>
          <w:bCs/>
          <w:noProof w:val="0"/>
          <w:rtl/>
        </w:rPr>
        <w:t>שרגאי</w:t>
      </w:r>
      <w:r w:rsidR="001615E7">
        <w:rPr>
          <w:rFonts w:ascii="Arial" w:hAnsi="Arial" w:hint="cs"/>
          <w:noProof w:val="0"/>
          <w:rtl/>
        </w:rPr>
        <w:t xml:space="preserve">" </w:t>
      </w:r>
      <w:r w:rsidR="00200E68" w:rsidRPr="00A65DF9">
        <w:rPr>
          <w:rFonts w:ascii="Arial" w:hAnsi="Arial" w:hint="cs"/>
          <w:noProof w:val="0"/>
          <w:rtl/>
        </w:rPr>
        <w:t xml:space="preserve">בית המשפט העליון פירש הוראה זו באופן מצומצם ומצא כי סמכות זו </w:t>
      </w:r>
      <w:r w:rsidR="001615E7">
        <w:rPr>
          <w:rFonts w:ascii="Arial" w:hAnsi="Arial" w:hint="cs"/>
          <w:noProof w:val="0"/>
          <w:rtl/>
        </w:rPr>
        <w:t xml:space="preserve">של בית הדין הרבני </w:t>
      </w:r>
      <w:r w:rsidR="00200E68" w:rsidRPr="00A65DF9">
        <w:rPr>
          <w:rFonts w:ascii="Arial" w:hAnsi="Arial" w:hint="cs"/>
          <w:noProof w:val="0"/>
          <w:rtl/>
        </w:rPr>
        <w:t xml:space="preserve">מתייחסת לתביעת אחד ההורים </w:t>
      </w:r>
      <w:r w:rsidR="005C66D7" w:rsidRPr="00A65DF9">
        <w:rPr>
          <w:rFonts w:ascii="Arial" w:hAnsi="Arial" w:hint="cs"/>
          <w:noProof w:val="0"/>
          <w:rtl/>
        </w:rPr>
        <w:t xml:space="preserve">נגד ההורה החב במזונות הקטין </w:t>
      </w:r>
      <w:r w:rsidR="00200E68" w:rsidRPr="00A65DF9">
        <w:rPr>
          <w:rFonts w:ascii="Arial" w:hAnsi="Arial" w:hint="cs"/>
          <w:noProof w:val="0"/>
          <w:rtl/>
        </w:rPr>
        <w:t>להשבת הוצאותיו</w:t>
      </w:r>
      <w:r w:rsidR="00473615">
        <w:rPr>
          <w:rFonts w:ascii="Arial" w:hAnsi="Arial" w:hint="cs"/>
          <w:noProof w:val="0"/>
          <w:rtl/>
        </w:rPr>
        <w:t xml:space="preserve"> -</w:t>
      </w:r>
      <w:r w:rsidR="00200E68" w:rsidRPr="00A65DF9">
        <w:rPr>
          <w:rFonts w:ascii="Arial" w:hAnsi="Arial" w:hint="cs"/>
          <w:noProof w:val="0"/>
          <w:rtl/>
        </w:rPr>
        <w:t xml:space="preserve"> "</w:t>
      </w:r>
      <w:r w:rsidR="00200E68" w:rsidRPr="00473615">
        <w:rPr>
          <w:rFonts w:ascii="Arial" w:hAnsi="Arial" w:hint="cs"/>
          <w:b/>
          <w:bCs/>
          <w:noProof w:val="0"/>
          <w:rtl/>
        </w:rPr>
        <w:t>אך הילד יכול בעצמו לתבוע מזונותיו מן ההורה החייב בכך. זוהי תביעת מזונות ממש, ולא רק תביעה להשבת יציאו</w:t>
      </w:r>
      <w:r w:rsidR="005C66D7" w:rsidRPr="00473615">
        <w:rPr>
          <w:rFonts w:ascii="Arial" w:hAnsi="Arial" w:hint="cs"/>
          <w:b/>
          <w:bCs/>
          <w:noProof w:val="0"/>
          <w:rtl/>
        </w:rPr>
        <w:t>ת</w:t>
      </w:r>
      <w:r w:rsidR="005C66D7" w:rsidRPr="00A65DF9">
        <w:rPr>
          <w:rFonts w:ascii="Arial" w:hAnsi="Arial" w:hint="cs"/>
          <w:noProof w:val="0"/>
          <w:rtl/>
        </w:rPr>
        <w:t>" (</w:t>
      </w:r>
      <w:r w:rsidR="00473615">
        <w:rPr>
          <w:rFonts w:ascii="Arial" w:hAnsi="Arial" w:hint="cs"/>
          <w:noProof w:val="0"/>
          <w:rtl/>
        </w:rPr>
        <w:t xml:space="preserve">שרגאי, </w:t>
      </w:r>
      <w:r w:rsidR="005C66D7" w:rsidRPr="00A65DF9">
        <w:rPr>
          <w:rFonts w:ascii="Arial" w:hAnsi="Arial" w:hint="cs"/>
          <w:noProof w:val="0"/>
          <w:rtl/>
        </w:rPr>
        <w:t>ע' 176, מול אות השוליים "א"). תביעה מסוג זה, "</w:t>
      </w:r>
      <w:r w:rsidR="00473615" w:rsidRPr="00473615">
        <w:rPr>
          <w:rFonts w:ascii="Arial" w:hAnsi="Arial" w:hint="cs"/>
          <w:b/>
          <w:bCs/>
          <w:noProof w:val="0"/>
          <w:rtl/>
        </w:rPr>
        <w:t>לעולם לא תהא בגדר סמכותו הייח</w:t>
      </w:r>
      <w:r w:rsidR="005C66D7" w:rsidRPr="00473615">
        <w:rPr>
          <w:rFonts w:ascii="Arial" w:hAnsi="Arial" w:hint="cs"/>
          <w:b/>
          <w:bCs/>
          <w:noProof w:val="0"/>
          <w:rtl/>
        </w:rPr>
        <w:t>ו</w:t>
      </w:r>
      <w:r w:rsidR="00473615" w:rsidRPr="00473615">
        <w:rPr>
          <w:rFonts w:ascii="Arial" w:hAnsi="Arial" w:hint="cs"/>
          <w:b/>
          <w:bCs/>
          <w:noProof w:val="0"/>
          <w:rtl/>
        </w:rPr>
        <w:t>ד</w:t>
      </w:r>
      <w:r w:rsidR="005C66D7" w:rsidRPr="00473615">
        <w:rPr>
          <w:rFonts w:ascii="Arial" w:hAnsi="Arial" w:hint="cs"/>
          <w:b/>
          <w:bCs/>
          <w:noProof w:val="0"/>
          <w:rtl/>
        </w:rPr>
        <w:t>ית של בית הדין הרבני, ומפאת השוני האמור אף אינה יכולה להיות 'כרוכה' בתביעת גירושין כאמור בסעיף 3 הנ"ל</w:t>
      </w:r>
      <w:r w:rsidR="005C66D7" w:rsidRPr="00A65DF9">
        <w:rPr>
          <w:rFonts w:ascii="Arial" w:hAnsi="Arial" w:hint="cs"/>
          <w:noProof w:val="0"/>
          <w:rtl/>
        </w:rPr>
        <w:t>" (שם, מול אותה השוליים "ג").</w:t>
      </w:r>
    </w:p>
    <w:p w:rsidR="005C66D7" w:rsidRDefault="005C66D7" w:rsidP="00A65DF9">
      <w:pPr>
        <w:spacing w:line="360" w:lineRule="auto"/>
        <w:ind w:left="-142" w:hanging="425"/>
        <w:jc w:val="both"/>
        <w:rPr>
          <w:rFonts w:ascii="Arial" w:hAnsi="Arial"/>
          <w:noProof w:val="0"/>
          <w:rtl/>
        </w:rPr>
      </w:pPr>
    </w:p>
    <w:p w:rsidR="005C66D7" w:rsidRPr="00A65DF9" w:rsidRDefault="005C66D7" w:rsidP="00A65DF9">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 xml:space="preserve">כאמור, בית המשפט העליון שב ו"תיקף" את הלכת </w:t>
      </w:r>
      <w:r w:rsidR="00473615">
        <w:rPr>
          <w:rFonts w:ascii="Arial" w:hAnsi="Arial" w:hint="cs"/>
          <w:noProof w:val="0"/>
          <w:rtl/>
        </w:rPr>
        <w:t>"</w:t>
      </w:r>
      <w:r w:rsidRPr="00503E42">
        <w:rPr>
          <w:rFonts w:ascii="Arial" w:hAnsi="Arial" w:hint="cs"/>
          <w:b/>
          <w:bCs/>
          <w:noProof w:val="0"/>
          <w:rtl/>
        </w:rPr>
        <w:t>שרגאי</w:t>
      </w:r>
      <w:r w:rsidR="00473615">
        <w:rPr>
          <w:rFonts w:ascii="Arial" w:hAnsi="Arial" w:hint="cs"/>
          <w:noProof w:val="0"/>
          <w:rtl/>
        </w:rPr>
        <w:t>"</w:t>
      </w:r>
      <w:r w:rsidRPr="00A65DF9">
        <w:rPr>
          <w:rFonts w:ascii="Arial" w:hAnsi="Arial" w:hint="cs"/>
          <w:noProof w:val="0"/>
          <w:rtl/>
        </w:rPr>
        <w:t xml:space="preserve"> בעניין "</w:t>
      </w:r>
      <w:r w:rsidRPr="00503E42">
        <w:rPr>
          <w:rFonts w:ascii="Arial" w:hAnsi="Arial" w:hint="cs"/>
          <w:b/>
          <w:bCs/>
          <w:noProof w:val="0"/>
          <w:rtl/>
        </w:rPr>
        <w:t>פלוני</w:t>
      </w:r>
      <w:r w:rsidRPr="00A65DF9">
        <w:rPr>
          <w:rFonts w:ascii="Arial" w:hAnsi="Arial" w:hint="cs"/>
          <w:noProof w:val="0"/>
          <w:rtl/>
        </w:rPr>
        <w:t xml:space="preserve">". </w:t>
      </w:r>
      <w:r w:rsidRPr="00A65DF9">
        <w:rPr>
          <w:rFonts w:ascii="Arial" w:hAnsi="Arial"/>
          <w:b/>
          <w:bCs/>
          <w:noProof w:val="0"/>
          <w:rtl/>
        </w:rPr>
        <w:t>כבוד השופט מני מזוז</w:t>
      </w:r>
      <w:r w:rsidRPr="00A65DF9">
        <w:rPr>
          <w:rFonts w:ascii="Arial" w:hAnsi="Arial"/>
          <w:noProof w:val="0"/>
          <w:rtl/>
        </w:rPr>
        <w:t xml:space="preserve"> סיכם את דעת הרוב וקבע ש</w:t>
      </w:r>
      <w:r w:rsidRPr="00503E42">
        <w:rPr>
          <w:rtl/>
        </w:rPr>
        <w:t>"</w:t>
      </w:r>
      <w:r w:rsidRPr="00A65DF9">
        <w:rPr>
          <w:rFonts w:ascii="Arial" w:hAnsi="Arial"/>
          <w:b/>
          <w:bCs/>
          <w:noProof w:val="0"/>
          <w:rtl/>
        </w:rPr>
        <w:t>הלכת שרגאי קובעת כי לא ניתן לכרוך תביעה למזונות ילדים בתביעת גירושין לפי סעיף 3 לחוק שיפוט בתי דין, אלא רק 'תביעה להשבת יציאות'. הלכה זו מצויה עמנו מזה כיובל שנים, ועל פיה נהגו משך כל תקופה זו. הלכה זו לא נס ליחה ולא הועם זוהרה, והיא עודנה שרירה וקיימת, וטוב וראוי שכך</w:t>
      </w:r>
      <w:r w:rsidRPr="00503E42">
        <w:rPr>
          <w:rFonts w:ascii="Arial" w:hAnsi="Arial"/>
          <w:noProof w:val="0"/>
          <w:rtl/>
        </w:rPr>
        <w:t>"</w:t>
      </w:r>
      <w:r w:rsidRPr="00A65DF9">
        <w:rPr>
          <w:rFonts w:ascii="Arial" w:hAnsi="Arial"/>
          <w:noProof w:val="0"/>
          <w:rtl/>
        </w:rPr>
        <w:t xml:space="preserve"> (ס' 39(א)).</w:t>
      </w:r>
    </w:p>
    <w:p w:rsidR="005E2A74" w:rsidRDefault="005E2A74" w:rsidP="00A65DF9">
      <w:pPr>
        <w:spacing w:line="360" w:lineRule="auto"/>
        <w:ind w:left="-142" w:hanging="425"/>
        <w:jc w:val="both"/>
        <w:rPr>
          <w:rFonts w:ascii="Arial" w:hAnsi="Arial"/>
          <w:noProof w:val="0"/>
          <w:rtl/>
        </w:rPr>
      </w:pPr>
    </w:p>
    <w:p w:rsidR="005E2A74" w:rsidRPr="00A65DF9" w:rsidRDefault="005E2A74" w:rsidP="00A65DF9">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עיננו הרואות אפוא, שהעובדה עליה אין עוררין, כי המשיב הקדים והגיש תביעת גירושין לבית הדין הרבני, ואף כרך כדין את מזונות הקטינים לתביעת הגירושין מתוקף סעיף 3 לחוק שיפוט בתי דין רבניים, אינה גורעת מזכותם העצמאית של הקטינים לתבוע מזונותיהם, באמצעות אמם, בבית משפט זה.</w:t>
      </w:r>
    </w:p>
    <w:p w:rsidR="005E2A74" w:rsidRDefault="005E2A74" w:rsidP="00A65DF9">
      <w:pPr>
        <w:spacing w:line="360" w:lineRule="auto"/>
        <w:ind w:left="-142" w:hanging="425"/>
        <w:jc w:val="both"/>
        <w:rPr>
          <w:rFonts w:ascii="Arial" w:hAnsi="Arial"/>
          <w:noProof w:val="0"/>
          <w:rtl/>
        </w:rPr>
      </w:pPr>
    </w:p>
    <w:p w:rsidR="00B03189" w:rsidRPr="00A65DF9" w:rsidRDefault="005E2A74" w:rsidP="00503E42">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אוסיף כי ההלכה בעניין "</w:t>
      </w:r>
      <w:r w:rsidRPr="00503E42">
        <w:rPr>
          <w:rFonts w:ascii="Arial" w:hAnsi="Arial" w:hint="cs"/>
          <w:b/>
          <w:bCs/>
          <w:noProof w:val="0"/>
          <w:rtl/>
        </w:rPr>
        <w:t>פלמן</w:t>
      </w:r>
      <w:r w:rsidRPr="00A65DF9">
        <w:rPr>
          <w:rFonts w:ascii="Arial" w:hAnsi="Arial" w:hint="cs"/>
          <w:noProof w:val="0"/>
          <w:rtl/>
        </w:rPr>
        <w:t>" אינה נוגעת למחלוקת בענייננו בנסיבות הנדונות</w:t>
      </w:r>
      <w:r w:rsidR="004C265A" w:rsidRPr="00A65DF9">
        <w:rPr>
          <w:rFonts w:ascii="Arial" w:hAnsi="Arial" w:hint="cs"/>
          <w:noProof w:val="0"/>
          <w:rtl/>
        </w:rPr>
        <w:t>. בתמצית, הלכת "</w:t>
      </w:r>
      <w:r w:rsidR="004C265A" w:rsidRPr="00503E42">
        <w:rPr>
          <w:rFonts w:ascii="Arial" w:hAnsi="Arial" w:hint="cs"/>
          <w:b/>
          <w:bCs/>
          <w:noProof w:val="0"/>
          <w:rtl/>
        </w:rPr>
        <w:t>פלמן</w:t>
      </w:r>
      <w:r w:rsidR="004C265A" w:rsidRPr="00A65DF9">
        <w:rPr>
          <w:rFonts w:ascii="Arial" w:hAnsi="Arial" w:hint="cs"/>
          <w:noProof w:val="0"/>
          <w:rtl/>
        </w:rPr>
        <w:t xml:space="preserve">" עוסקת בנסיבות בהן תביעה </w:t>
      </w:r>
      <w:r w:rsidR="004C265A" w:rsidRPr="00503E42">
        <w:rPr>
          <w:rFonts w:ascii="Arial" w:hAnsi="Arial" w:hint="cs"/>
          <w:b/>
          <w:bCs/>
          <w:noProof w:val="0"/>
          <w:rtl/>
        </w:rPr>
        <w:t>רכושית</w:t>
      </w:r>
      <w:r w:rsidR="004C265A" w:rsidRPr="00A65DF9">
        <w:rPr>
          <w:rFonts w:ascii="Arial" w:hAnsi="Arial" w:hint="cs"/>
          <w:noProof w:val="0"/>
          <w:rtl/>
        </w:rPr>
        <w:t xml:space="preserve"> הוגשה לבית המשפט לענייני משפחה, </w:t>
      </w:r>
      <w:r w:rsidR="00503E42">
        <w:rPr>
          <w:rFonts w:ascii="Arial" w:hAnsi="Arial" w:hint="cs"/>
          <w:noProof w:val="0"/>
          <w:rtl/>
        </w:rPr>
        <w:t>בד בבד</w:t>
      </w:r>
      <w:r w:rsidR="004C265A" w:rsidRPr="00A65DF9">
        <w:rPr>
          <w:rFonts w:ascii="Arial" w:hAnsi="Arial" w:hint="cs"/>
          <w:noProof w:val="0"/>
          <w:rtl/>
        </w:rPr>
        <w:t xml:space="preserve"> עם הגשת תביעת גירושין</w:t>
      </w:r>
      <w:r w:rsidR="00503E42">
        <w:rPr>
          <w:rFonts w:ascii="Arial" w:hAnsi="Arial" w:hint="cs"/>
          <w:noProof w:val="0"/>
          <w:rtl/>
        </w:rPr>
        <w:t xml:space="preserve"> לבית הדין הרבני</w:t>
      </w:r>
      <w:r w:rsidR="004C265A" w:rsidRPr="00A65DF9">
        <w:rPr>
          <w:rFonts w:ascii="Arial" w:hAnsi="Arial" w:hint="cs"/>
          <w:noProof w:val="0"/>
          <w:rtl/>
        </w:rPr>
        <w:t xml:space="preserve"> אליה נכרכו כדין ענייני </w:t>
      </w:r>
      <w:r w:rsidR="004C265A" w:rsidRPr="00503E42">
        <w:rPr>
          <w:rFonts w:ascii="Arial" w:hAnsi="Arial" w:hint="cs"/>
          <w:b/>
          <w:bCs/>
          <w:noProof w:val="0"/>
          <w:rtl/>
        </w:rPr>
        <w:t>הרכוש</w:t>
      </w:r>
      <w:r w:rsidR="004C265A" w:rsidRPr="00A65DF9">
        <w:rPr>
          <w:rFonts w:ascii="Arial" w:hAnsi="Arial" w:hint="cs"/>
          <w:noProof w:val="0"/>
          <w:rtl/>
        </w:rPr>
        <w:t xml:space="preserve">. בלב ההלכה הציב בית המשפט העליון את עקרון הכיבוד ההדדי בין ערכאות להן נתונה סמכות מקבילה. לפי עקרון זה, לכל אחת מהערכאות נתון שיקול הדעת להשעות את בירור התביעה שבפנייה כדי לאפשר לערכאה המקבילה לברר את כנות הכריכה. </w:t>
      </w:r>
      <w:r w:rsidR="00B03189" w:rsidRPr="00A65DF9">
        <w:rPr>
          <w:rFonts w:ascii="Arial" w:hAnsi="Arial" w:hint="cs"/>
          <w:noProof w:val="0"/>
          <w:rtl/>
        </w:rPr>
        <w:t>נסיבות אלה אינן מתקיימות בענייננו.</w:t>
      </w:r>
    </w:p>
    <w:p w:rsidR="00B03189" w:rsidRDefault="00B03189" w:rsidP="00A65DF9">
      <w:pPr>
        <w:spacing w:line="360" w:lineRule="auto"/>
        <w:ind w:left="-142" w:hanging="425"/>
        <w:jc w:val="both"/>
        <w:rPr>
          <w:rFonts w:ascii="Arial" w:hAnsi="Arial"/>
          <w:noProof w:val="0"/>
          <w:rtl/>
        </w:rPr>
      </w:pPr>
    </w:p>
    <w:p w:rsidR="00B03189" w:rsidRPr="00A65DF9" w:rsidRDefault="00B03189" w:rsidP="00503E42">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נדמה כי טענות המשיב בהקשר זה מתכתבות עם טענתו הנוספת, לפיה המבקשת הגישה בקשה לתיק המזונות בבית הדין הרבני, כבר למחרת הגשת תביעת הגירושין, ועמדה על פסיקת מדור</w:t>
      </w:r>
      <w:r w:rsidR="00503E42">
        <w:rPr>
          <w:rFonts w:ascii="Arial" w:hAnsi="Arial" w:hint="cs"/>
          <w:noProof w:val="0"/>
          <w:rtl/>
        </w:rPr>
        <w:t xml:space="preserve"> הקטינים</w:t>
      </w:r>
      <w:r w:rsidRPr="00A65DF9">
        <w:rPr>
          <w:rFonts w:ascii="Arial" w:hAnsi="Arial" w:hint="cs"/>
          <w:noProof w:val="0"/>
          <w:rtl/>
        </w:rPr>
        <w:t xml:space="preserve"> והן על חיוב המשיב בתשלומי המשכנתא. בית הדין הרבני הורה עוד על הגשת תגובת המשיב. מכללא טוען לכאורה המשיב כי בית הדין הרבני מצא כי </w:t>
      </w:r>
      <w:r w:rsidR="00503E42">
        <w:rPr>
          <w:rFonts w:ascii="Arial" w:hAnsi="Arial" w:hint="cs"/>
          <w:noProof w:val="0"/>
          <w:rtl/>
        </w:rPr>
        <w:t>לו נתונה הסמכות העניינית</w:t>
      </w:r>
      <w:r w:rsidRPr="00A65DF9">
        <w:rPr>
          <w:rFonts w:ascii="Arial" w:hAnsi="Arial" w:hint="cs"/>
          <w:noProof w:val="0"/>
          <w:rtl/>
        </w:rPr>
        <w:t>, ומתוקף עקרון הכיבוד ההדדי, יש להכיר בסמכותו.</w:t>
      </w:r>
    </w:p>
    <w:p w:rsidR="00B03189" w:rsidRDefault="00B03189" w:rsidP="00A65DF9">
      <w:pPr>
        <w:spacing w:line="360" w:lineRule="auto"/>
        <w:ind w:left="-142" w:hanging="425"/>
        <w:jc w:val="both"/>
        <w:rPr>
          <w:rFonts w:ascii="Arial" w:hAnsi="Arial"/>
          <w:noProof w:val="0"/>
          <w:rtl/>
        </w:rPr>
      </w:pPr>
    </w:p>
    <w:p w:rsidR="007B41E5" w:rsidRPr="00A65DF9" w:rsidRDefault="00B03189" w:rsidP="00503E42">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 xml:space="preserve">לא אוכל לקבל טענה זו. גם אם אניח שהלכת "פלמן" חלה בעניין מזונות קטינים </w:t>
      </w:r>
      <w:r w:rsidRPr="00A65DF9">
        <w:rPr>
          <w:rFonts w:ascii="Arial" w:hAnsi="Arial"/>
          <w:noProof w:val="0"/>
          <w:rtl/>
        </w:rPr>
        <w:t>–</w:t>
      </w:r>
      <w:r w:rsidRPr="00A65DF9">
        <w:rPr>
          <w:rFonts w:ascii="Arial" w:hAnsi="Arial" w:hint="cs"/>
          <w:noProof w:val="0"/>
          <w:rtl/>
        </w:rPr>
        <w:t xml:space="preserve"> ואיני קובעת כך - כלל הכיבוד ההדדי יחול במקום בו אחת הערכאות החלה לדון בשאלת הסמכות העניינית. מטענות המשיב ומהסימוכין שצירף עולה כי זהו אינו המצב בענייננו.</w:t>
      </w:r>
      <w:r w:rsidR="00AA5F39" w:rsidRPr="00A65DF9">
        <w:rPr>
          <w:rFonts w:ascii="Arial" w:hAnsi="Arial" w:hint="cs"/>
          <w:noProof w:val="0"/>
          <w:rtl/>
        </w:rPr>
        <w:t xml:space="preserve"> </w:t>
      </w:r>
      <w:r w:rsidR="00503E42">
        <w:rPr>
          <w:rFonts w:ascii="Arial" w:hAnsi="Arial" w:hint="cs"/>
          <w:noProof w:val="0"/>
          <w:rtl/>
        </w:rPr>
        <w:t>אין בפניי סימוכין לכך ש</w:t>
      </w:r>
      <w:r w:rsidR="00AA5F39" w:rsidRPr="00A65DF9">
        <w:rPr>
          <w:rFonts w:ascii="Arial" w:hAnsi="Arial" w:hint="cs"/>
          <w:noProof w:val="0"/>
          <w:rtl/>
        </w:rPr>
        <w:t>תלויה ועומדת בפניי בית הדין בקשה להכריע בשאלת הסמכות העניינית</w:t>
      </w:r>
      <w:r w:rsidR="001615E7">
        <w:rPr>
          <w:rFonts w:ascii="Arial" w:hAnsi="Arial" w:hint="cs"/>
          <w:noProof w:val="0"/>
          <w:rtl/>
        </w:rPr>
        <w:t>, כל שכן לכך שבית הדין הכריע בדבר</w:t>
      </w:r>
      <w:r w:rsidR="00AA5F39" w:rsidRPr="00A65DF9">
        <w:rPr>
          <w:rFonts w:ascii="Arial" w:hAnsi="Arial" w:hint="cs"/>
          <w:noProof w:val="0"/>
          <w:rtl/>
        </w:rPr>
        <w:t xml:space="preserve">. מבקשת המבקשת בפניי בית הדין עולה כי עתרה לחיוב המשיב בתשלום החזרי המשכנתא, כחלק מחובתו לזון את </w:t>
      </w:r>
      <w:r w:rsidR="00AA5F39" w:rsidRPr="00A65DF9">
        <w:rPr>
          <w:rFonts w:ascii="Arial" w:hAnsi="Arial" w:hint="cs"/>
          <w:noProof w:val="0"/>
          <w:u w:val="single"/>
          <w:rtl/>
        </w:rPr>
        <w:t>האישה</w:t>
      </w:r>
      <w:r w:rsidR="00AA5F39" w:rsidRPr="00A65DF9">
        <w:rPr>
          <w:rFonts w:ascii="Arial" w:hAnsi="Arial" w:hint="cs"/>
          <w:noProof w:val="0"/>
          <w:rtl/>
        </w:rPr>
        <w:t>. המבקשת לא עמדה על מזונות הקטינים או מדור</w:t>
      </w:r>
      <w:r w:rsidR="00503E42">
        <w:rPr>
          <w:rFonts w:ascii="Arial" w:hAnsi="Arial" w:hint="cs"/>
          <w:noProof w:val="0"/>
          <w:rtl/>
        </w:rPr>
        <w:t>ם</w:t>
      </w:r>
      <w:r w:rsidR="00AA5F39" w:rsidRPr="00A65DF9">
        <w:rPr>
          <w:rFonts w:ascii="Arial" w:hAnsi="Arial" w:hint="cs"/>
          <w:noProof w:val="0"/>
          <w:rtl/>
        </w:rPr>
        <w:t xml:space="preserve"> כלל. מהסימוכין עולה עוד כי בקשת המבקשת הוגשה בתיק </w:t>
      </w:r>
      <w:r w:rsidR="00AA5F39" w:rsidRPr="00A65DF9">
        <w:rPr>
          <w:rFonts w:ascii="Arial" w:hAnsi="Arial" w:hint="cs"/>
          <w:noProof w:val="0"/>
          <w:u w:val="single"/>
          <w:rtl/>
        </w:rPr>
        <w:t>הרכושי</w:t>
      </w:r>
      <w:r w:rsidR="00AA5F39" w:rsidRPr="00A65DF9">
        <w:rPr>
          <w:rFonts w:ascii="Arial" w:hAnsi="Arial" w:hint="cs"/>
          <w:noProof w:val="0"/>
          <w:rtl/>
        </w:rPr>
        <w:t xml:space="preserve">, ובתיק זה </w:t>
      </w:r>
      <w:r w:rsidR="00503E42">
        <w:rPr>
          <w:rFonts w:ascii="Arial" w:hAnsi="Arial" w:hint="cs"/>
          <w:noProof w:val="0"/>
          <w:rtl/>
        </w:rPr>
        <w:t xml:space="preserve">אף </w:t>
      </w:r>
      <w:r w:rsidR="00AA5F39" w:rsidRPr="00A65DF9">
        <w:rPr>
          <w:rFonts w:ascii="Arial" w:hAnsi="Arial" w:hint="cs"/>
          <w:noProof w:val="0"/>
          <w:rtl/>
        </w:rPr>
        <w:t xml:space="preserve">ניתנה החלטת בית הדין </w:t>
      </w:r>
      <w:r w:rsidR="00AA5F39" w:rsidRPr="00A65DF9">
        <w:rPr>
          <w:rFonts w:ascii="Arial" w:hAnsi="Arial" w:hint="cs"/>
          <w:noProof w:val="0"/>
          <w:rtl/>
        </w:rPr>
        <w:lastRenderedPageBreak/>
        <w:t>הרבני המורה על קבלת תגובה מהמשיב (1486741/8)</w:t>
      </w:r>
      <w:r w:rsidR="007B41E5" w:rsidRPr="00A65DF9">
        <w:rPr>
          <w:rFonts w:ascii="Arial" w:hAnsi="Arial" w:hint="cs"/>
          <w:noProof w:val="0"/>
          <w:rtl/>
        </w:rPr>
        <w:t>. לא אוכל לקבל אפוא את הטענה או ההנחה ששאלת הסמכות העניינית לדון במזונות הקטינים מצויה על שולחנו של בית הדין, ואין בפניי ראיה לכך.</w:t>
      </w:r>
    </w:p>
    <w:p w:rsidR="007B41E5" w:rsidRDefault="007B41E5" w:rsidP="00A65DF9">
      <w:pPr>
        <w:spacing w:line="360" w:lineRule="auto"/>
        <w:ind w:left="-142" w:hanging="425"/>
        <w:jc w:val="both"/>
        <w:rPr>
          <w:rFonts w:ascii="Arial" w:hAnsi="Arial"/>
          <w:noProof w:val="0"/>
          <w:rtl/>
        </w:rPr>
      </w:pPr>
    </w:p>
    <w:p w:rsidR="008C70C3" w:rsidRPr="00A65DF9" w:rsidRDefault="007B41E5" w:rsidP="00205F40">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לא נעלמה מעיני טענת המשיב לפיה בית הדין הרבני הגדול קבע שההלכות בעניין "</w:t>
      </w:r>
      <w:r w:rsidRPr="00205F40">
        <w:rPr>
          <w:rFonts w:ascii="Arial" w:hAnsi="Arial" w:hint="cs"/>
          <w:b/>
          <w:bCs/>
          <w:noProof w:val="0"/>
          <w:rtl/>
        </w:rPr>
        <w:t>שרגאי</w:t>
      </w:r>
      <w:r w:rsidRPr="00A65DF9">
        <w:rPr>
          <w:rFonts w:ascii="Arial" w:hAnsi="Arial" w:hint="cs"/>
          <w:noProof w:val="0"/>
          <w:rtl/>
        </w:rPr>
        <w:t>" ו"</w:t>
      </w:r>
      <w:r w:rsidRPr="00205F40">
        <w:rPr>
          <w:rFonts w:ascii="Arial" w:hAnsi="Arial" w:hint="cs"/>
          <w:b/>
          <w:bCs/>
          <w:noProof w:val="0"/>
          <w:rtl/>
        </w:rPr>
        <w:t>פלוני</w:t>
      </w:r>
      <w:r w:rsidRPr="00A65DF9">
        <w:rPr>
          <w:rFonts w:ascii="Arial" w:hAnsi="Arial" w:hint="cs"/>
          <w:noProof w:val="0"/>
          <w:rtl/>
        </w:rPr>
        <w:t>" אינן שוללות את סמכות</w:t>
      </w:r>
      <w:r w:rsidR="00205F40">
        <w:rPr>
          <w:rFonts w:ascii="Arial" w:hAnsi="Arial" w:hint="cs"/>
          <w:noProof w:val="0"/>
          <w:rtl/>
        </w:rPr>
        <w:t>ם</w:t>
      </w:r>
      <w:r w:rsidRPr="00A65DF9">
        <w:rPr>
          <w:rFonts w:ascii="Arial" w:hAnsi="Arial" w:hint="cs"/>
          <w:noProof w:val="0"/>
          <w:rtl/>
        </w:rPr>
        <w:t xml:space="preserve"> העניינית של בת</w:t>
      </w:r>
      <w:r w:rsidR="00205F40">
        <w:rPr>
          <w:rFonts w:ascii="Arial" w:hAnsi="Arial" w:hint="cs"/>
          <w:noProof w:val="0"/>
          <w:rtl/>
        </w:rPr>
        <w:t>י</w:t>
      </w:r>
      <w:r w:rsidRPr="00A65DF9">
        <w:rPr>
          <w:rFonts w:ascii="Arial" w:hAnsi="Arial" w:hint="cs"/>
          <w:noProof w:val="0"/>
          <w:rtl/>
        </w:rPr>
        <w:t xml:space="preserve"> הדין </w:t>
      </w:r>
      <w:r w:rsidR="00205F40">
        <w:rPr>
          <w:rFonts w:ascii="Arial" w:hAnsi="Arial" w:hint="cs"/>
          <w:noProof w:val="0"/>
          <w:rtl/>
        </w:rPr>
        <w:t xml:space="preserve">הרבניים </w:t>
      </w:r>
      <w:r w:rsidRPr="00A65DF9">
        <w:rPr>
          <w:rFonts w:ascii="Arial" w:hAnsi="Arial" w:hint="cs"/>
          <w:noProof w:val="0"/>
          <w:rtl/>
        </w:rPr>
        <w:t>לדון במזונות קטינים. מצופה כי טענה כגון זו תלווה</w:t>
      </w:r>
      <w:r w:rsidR="00205F40">
        <w:rPr>
          <w:rFonts w:ascii="Arial" w:hAnsi="Arial" w:hint="cs"/>
          <w:noProof w:val="0"/>
          <w:rtl/>
        </w:rPr>
        <w:t xml:space="preserve"> למצער במראה-</w:t>
      </w:r>
      <w:r w:rsidR="008C70C3" w:rsidRPr="00A65DF9">
        <w:rPr>
          <w:rFonts w:ascii="Arial" w:hAnsi="Arial" w:hint="cs"/>
          <w:noProof w:val="0"/>
          <w:rtl/>
        </w:rPr>
        <w:t xml:space="preserve">מקום והפניה לאותה פסיקה עליה מתבסס המשיב בטיעוניו. שנית, המשיב לא ביסס את הנחתו </w:t>
      </w:r>
      <w:r w:rsidR="00205F40">
        <w:rPr>
          <w:rFonts w:ascii="Arial" w:hAnsi="Arial" w:hint="cs"/>
          <w:noProof w:val="0"/>
          <w:rtl/>
        </w:rPr>
        <w:t xml:space="preserve">מכללא </w:t>
      </w:r>
      <w:r w:rsidR="008C70C3" w:rsidRPr="00A65DF9">
        <w:rPr>
          <w:rFonts w:ascii="Arial" w:hAnsi="Arial" w:hint="cs"/>
          <w:noProof w:val="0"/>
          <w:rtl/>
        </w:rPr>
        <w:t>כי פסיקת בית הדין הרבני הגדול גוברת על פסיקתו של בית המשפט העליון. שלישית, לגוף הטענה, כשם שבואר לעיל ההלכות בעניין "</w:t>
      </w:r>
      <w:r w:rsidR="008C70C3" w:rsidRPr="00205F40">
        <w:rPr>
          <w:rFonts w:ascii="Arial" w:hAnsi="Arial" w:hint="cs"/>
          <w:b/>
          <w:bCs/>
          <w:noProof w:val="0"/>
          <w:rtl/>
        </w:rPr>
        <w:t>שרגאי</w:t>
      </w:r>
      <w:r w:rsidR="008C70C3" w:rsidRPr="00A65DF9">
        <w:rPr>
          <w:rFonts w:ascii="Arial" w:hAnsi="Arial" w:hint="cs"/>
          <w:noProof w:val="0"/>
          <w:rtl/>
        </w:rPr>
        <w:t>" ו</w:t>
      </w:r>
      <w:r w:rsidR="00205F40">
        <w:rPr>
          <w:rFonts w:ascii="Arial" w:hAnsi="Arial" w:hint="cs"/>
          <w:noProof w:val="0"/>
          <w:rtl/>
        </w:rPr>
        <w:t>"</w:t>
      </w:r>
      <w:r w:rsidR="008C70C3" w:rsidRPr="00205F40">
        <w:rPr>
          <w:rFonts w:ascii="Arial" w:hAnsi="Arial" w:hint="cs"/>
          <w:b/>
          <w:bCs/>
          <w:noProof w:val="0"/>
          <w:rtl/>
        </w:rPr>
        <w:t>פלוני</w:t>
      </w:r>
      <w:r w:rsidR="008C70C3" w:rsidRPr="00A65DF9">
        <w:rPr>
          <w:rFonts w:ascii="Arial" w:hAnsi="Arial" w:hint="cs"/>
          <w:noProof w:val="0"/>
          <w:rtl/>
        </w:rPr>
        <w:t xml:space="preserve">" עוסקות בסמכותו העניינית של בית הדין לדון במזונות קטינים שנכרכו בתביעת גירושין לפי סעיף 3 לחוק שיפוט בתי דין רבניים. </w:t>
      </w:r>
      <w:r w:rsidR="00205F40">
        <w:rPr>
          <w:rFonts w:ascii="Arial" w:hAnsi="Arial" w:hint="cs"/>
          <w:noProof w:val="0"/>
          <w:rtl/>
        </w:rPr>
        <w:t xml:space="preserve">אכן, </w:t>
      </w:r>
      <w:r w:rsidR="008C70C3" w:rsidRPr="00A65DF9">
        <w:rPr>
          <w:rFonts w:ascii="Arial" w:hAnsi="Arial" w:hint="cs"/>
          <w:noProof w:val="0"/>
          <w:rtl/>
        </w:rPr>
        <w:t xml:space="preserve">אין בהן לגרוע מסמכות בית הדין </w:t>
      </w:r>
      <w:r w:rsidR="00A65DF9" w:rsidRPr="00A65DF9">
        <w:rPr>
          <w:rFonts w:ascii="Arial" w:hAnsi="Arial" w:hint="cs"/>
          <w:noProof w:val="0"/>
          <w:rtl/>
        </w:rPr>
        <w:t xml:space="preserve">הרבני לדון במזונות קטינים מתוקף </w:t>
      </w:r>
      <w:r w:rsidR="008C70C3" w:rsidRPr="00A65DF9">
        <w:rPr>
          <w:rFonts w:ascii="Arial" w:hAnsi="Arial" w:hint="cs"/>
          <w:noProof w:val="0"/>
          <w:rtl/>
        </w:rPr>
        <w:t>סעיף 9 לחוק שיפוט בתי דין רבניים.</w:t>
      </w:r>
    </w:p>
    <w:p w:rsidR="00A65DF9" w:rsidRDefault="00A65DF9" w:rsidP="00A65DF9">
      <w:pPr>
        <w:spacing w:line="360" w:lineRule="auto"/>
        <w:ind w:left="-142" w:hanging="425"/>
        <w:jc w:val="both"/>
        <w:rPr>
          <w:rFonts w:ascii="Arial" w:hAnsi="Arial"/>
          <w:noProof w:val="0"/>
          <w:rtl/>
        </w:rPr>
      </w:pPr>
    </w:p>
    <w:p w:rsidR="00A65DF9" w:rsidRPr="00A65DF9" w:rsidRDefault="00A65DF9" w:rsidP="00A65DF9">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אדגיש כי אין בהחלטתי דנן על מנת לגרוע מטענות המשיב לגופו של עניין, שתתבררנה בכובד ראש.</w:t>
      </w:r>
    </w:p>
    <w:p w:rsidR="00A65DF9" w:rsidRDefault="00A65DF9" w:rsidP="00A65DF9">
      <w:pPr>
        <w:spacing w:line="360" w:lineRule="auto"/>
        <w:ind w:left="-142" w:hanging="425"/>
        <w:jc w:val="both"/>
        <w:rPr>
          <w:rFonts w:ascii="Arial" w:hAnsi="Arial"/>
          <w:noProof w:val="0"/>
          <w:rtl/>
        </w:rPr>
      </w:pPr>
    </w:p>
    <w:p w:rsidR="00A65DF9" w:rsidRPr="00A65DF9" w:rsidRDefault="00A65DF9" w:rsidP="00A65DF9">
      <w:pPr>
        <w:pStyle w:val="ad"/>
        <w:numPr>
          <w:ilvl w:val="0"/>
          <w:numId w:val="3"/>
        </w:numPr>
        <w:spacing w:line="360" w:lineRule="auto"/>
        <w:ind w:left="-142" w:hanging="425"/>
        <w:jc w:val="both"/>
        <w:rPr>
          <w:rFonts w:ascii="Arial" w:hAnsi="Arial"/>
          <w:noProof w:val="0"/>
          <w:rtl/>
        </w:rPr>
      </w:pPr>
      <w:r w:rsidRPr="00A65DF9">
        <w:rPr>
          <w:rFonts w:ascii="Arial" w:hAnsi="Arial" w:hint="cs"/>
          <w:noProof w:val="0"/>
          <w:rtl/>
        </w:rPr>
        <w:t>על בסיס כל המפורט לעיל, נקבע כדלקמן:</w:t>
      </w:r>
    </w:p>
    <w:p w:rsidR="00A65DF9" w:rsidRDefault="00A65DF9" w:rsidP="00A65DF9">
      <w:pPr>
        <w:spacing w:line="360" w:lineRule="auto"/>
        <w:ind w:left="-142" w:hanging="425"/>
        <w:jc w:val="both"/>
        <w:rPr>
          <w:rFonts w:ascii="Arial" w:hAnsi="Arial"/>
          <w:noProof w:val="0"/>
          <w:rtl/>
        </w:rPr>
      </w:pPr>
    </w:p>
    <w:p w:rsidR="00A65DF9" w:rsidRPr="00A65DF9" w:rsidRDefault="00A65DF9" w:rsidP="00205F40">
      <w:pPr>
        <w:pStyle w:val="ad"/>
        <w:numPr>
          <w:ilvl w:val="0"/>
          <w:numId w:val="4"/>
        </w:numPr>
        <w:spacing w:line="360" w:lineRule="auto"/>
        <w:ind w:left="425"/>
        <w:jc w:val="both"/>
        <w:rPr>
          <w:rFonts w:ascii="Arial" w:hAnsi="Arial"/>
          <w:noProof w:val="0"/>
          <w:rtl/>
        </w:rPr>
      </w:pPr>
      <w:r w:rsidRPr="00A65DF9">
        <w:rPr>
          <w:rFonts w:ascii="Arial" w:hAnsi="Arial" w:hint="cs"/>
          <w:noProof w:val="0"/>
          <w:rtl/>
        </w:rPr>
        <w:t>אני מקבלת את הבקשה וקובעת כי לבית משפט זה נתונה הסמ</w:t>
      </w:r>
      <w:r w:rsidR="00205F40">
        <w:rPr>
          <w:rFonts w:ascii="Arial" w:hAnsi="Arial" w:hint="cs"/>
          <w:noProof w:val="0"/>
          <w:rtl/>
        </w:rPr>
        <w:t>כות העניינית לדון בתביעה דנן לפ</w:t>
      </w:r>
      <w:r w:rsidRPr="00A65DF9">
        <w:rPr>
          <w:rFonts w:ascii="Arial" w:hAnsi="Arial" w:hint="cs"/>
          <w:noProof w:val="0"/>
          <w:rtl/>
        </w:rPr>
        <w:t>ס</w:t>
      </w:r>
      <w:r w:rsidR="00205F40">
        <w:rPr>
          <w:rFonts w:ascii="Arial" w:hAnsi="Arial" w:hint="cs"/>
          <w:noProof w:val="0"/>
          <w:rtl/>
        </w:rPr>
        <w:t>יק</w:t>
      </w:r>
      <w:r w:rsidRPr="00A65DF9">
        <w:rPr>
          <w:rFonts w:ascii="Arial" w:hAnsi="Arial" w:hint="cs"/>
          <w:noProof w:val="0"/>
          <w:rtl/>
        </w:rPr>
        <w:t>ת מזונות קטינים.</w:t>
      </w:r>
    </w:p>
    <w:p w:rsidR="00A65DF9" w:rsidRDefault="00A65DF9" w:rsidP="00205F40">
      <w:pPr>
        <w:spacing w:line="360" w:lineRule="auto"/>
        <w:ind w:left="425" w:hanging="425"/>
        <w:jc w:val="both"/>
        <w:rPr>
          <w:rFonts w:ascii="Arial" w:hAnsi="Arial"/>
          <w:noProof w:val="0"/>
          <w:rtl/>
        </w:rPr>
      </w:pPr>
    </w:p>
    <w:p w:rsidR="00A65DF9" w:rsidRPr="00A65DF9" w:rsidRDefault="00A65DF9" w:rsidP="00205F40">
      <w:pPr>
        <w:pStyle w:val="ad"/>
        <w:numPr>
          <w:ilvl w:val="0"/>
          <w:numId w:val="4"/>
        </w:numPr>
        <w:spacing w:line="360" w:lineRule="auto"/>
        <w:ind w:left="425"/>
        <w:jc w:val="both"/>
        <w:rPr>
          <w:rFonts w:ascii="Arial" w:hAnsi="Arial"/>
          <w:noProof w:val="0"/>
          <w:rtl/>
        </w:rPr>
      </w:pPr>
      <w:r w:rsidRPr="00A65DF9">
        <w:rPr>
          <w:rFonts w:ascii="Arial" w:hAnsi="Arial" w:hint="cs"/>
          <w:noProof w:val="0"/>
          <w:rtl/>
        </w:rPr>
        <w:lastRenderedPageBreak/>
        <w:t xml:space="preserve">המשיב יגיש תגובה לבקשה לפסיקת מזונות זמניים בהתאם לתקנות בית משפט לענייני משפחה (סדרי דין), תשפ"א-2020, </w:t>
      </w:r>
      <w:r w:rsidRPr="00205F40">
        <w:rPr>
          <w:rFonts w:ascii="Arial" w:hAnsi="Arial" w:hint="cs"/>
          <w:b/>
          <w:bCs/>
          <w:noProof w:val="0"/>
          <w:rtl/>
        </w:rPr>
        <w:t>תוך 10 ימים מהיום</w:t>
      </w:r>
      <w:r w:rsidRPr="00A65DF9">
        <w:rPr>
          <w:rFonts w:ascii="Arial" w:hAnsi="Arial" w:hint="cs"/>
          <w:noProof w:val="0"/>
          <w:rtl/>
        </w:rPr>
        <w:t>.</w:t>
      </w:r>
    </w:p>
    <w:p w:rsidR="00A65DF9" w:rsidRDefault="00A65DF9" w:rsidP="00205F40">
      <w:pPr>
        <w:spacing w:line="360" w:lineRule="auto"/>
        <w:ind w:left="425" w:hanging="425"/>
        <w:jc w:val="both"/>
        <w:rPr>
          <w:rFonts w:ascii="Arial" w:hAnsi="Arial"/>
          <w:noProof w:val="0"/>
          <w:rtl/>
        </w:rPr>
      </w:pPr>
    </w:p>
    <w:p w:rsidR="00A65DF9" w:rsidRPr="00A65DF9" w:rsidRDefault="00A65DF9" w:rsidP="00205F40">
      <w:pPr>
        <w:pStyle w:val="ad"/>
        <w:numPr>
          <w:ilvl w:val="0"/>
          <w:numId w:val="4"/>
        </w:numPr>
        <w:spacing w:line="360" w:lineRule="auto"/>
        <w:ind w:left="425"/>
        <w:jc w:val="both"/>
        <w:rPr>
          <w:rFonts w:ascii="Arial" w:hAnsi="Arial"/>
          <w:noProof w:val="0"/>
          <w:rtl/>
        </w:rPr>
      </w:pPr>
      <w:r w:rsidRPr="00A65DF9">
        <w:rPr>
          <w:rFonts w:ascii="Arial" w:hAnsi="Arial" w:hint="cs"/>
          <w:noProof w:val="0"/>
          <w:rtl/>
        </w:rPr>
        <w:t xml:space="preserve">כתב הגנה יוגש </w:t>
      </w:r>
      <w:r w:rsidRPr="00205F40">
        <w:rPr>
          <w:rFonts w:ascii="Arial" w:hAnsi="Arial" w:hint="cs"/>
          <w:b/>
          <w:bCs/>
          <w:noProof w:val="0"/>
          <w:rtl/>
        </w:rPr>
        <w:t>תוך 30 יום מהיום</w:t>
      </w:r>
      <w:r w:rsidRPr="00A65DF9">
        <w:rPr>
          <w:rFonts w:ascii="Arial" w:hAnsi="Arial" w:hint="cs"/>
          <w:noProof w:val="0"/>
          <w:rtl/>
        </w:rPr>
        <w:t>.</w:t>
      </w:r>
    </w:p>
    <w:p w:rsidR="00A65DF9" w:rsidRDefault="00A65DF9" w:rsidP="00205F40">
      <w:pPr>
        <w:spacing w:line="360" w:lineRule="auto"/>
        <w:ind w:left="425" w:hanging="425"/>
        <w:jc w:val="both"/>
        <w:rPr>
          <w:rFonts w:ascii="Arial" w:hAnsi="Arial"/>
          <w:noProof w:val="0"/>
          <w:rtl/>
        </w:rPr>
      </w:pPr>
    </w:p>
    <w:p w:rsidR="00A65DF9" w:rsidRPr="00A65DF9" w:rsidRDefault="00A65DF9" w:rsidP="00205F40">
      <w:pPr>
        <w:pStyle w:val="ad"/>
        <w:numPr>
          <w:ilvl w:val="0"/>
          <w:numId w:val="4"/>
        </w:numPr>
        <w:spacing w:line="360" w:lineRule="auto"/>
        <w:ind w:left="425"/>
        <w:jc w:val="both"/>
        <w:rPr>
          <w:rFonts w:ascii="Arial" w:hAnsi="Arial"/>
          <w:noProof w:val="0"/>
          <w:rtl/>
        </w:rPr>
      </w:pPr>
      <w:r w:rsidRPr="00A65DF9">
        <w:rPr>
          <w:rFonts w:ascii="Arial" w:hAnsi="Arial" w:hint="cs"/>
          <w:noProof w:val="0"/>
          <w:rtl/>
        </w:rPr>
        <w:t>אין צו להוצאות.</w:t>
      </w:r>
    </w:p>
    <w:p w:rsidR="00A65DF9" w:rsidRDefault="00A65DF9" w:rsidP="00A65DF9">
      <w:pPr>
        <w:spacing w:line="360" w:lineRule="auto"/>
        <w:ind w:left="-142" w:hanging="425"/>
        <w:jc w:val="both"/>
        <w:rPr>
          <w:rFonts w:ascii="Arial" w:hAnsi="Arial"/>
          <w:noProof w:val="0"/>
          <w:rtl/>
        </w:rPr>
      </w:pPr>
    </w:p>
    <w:p w:rsidR="00A65DF9" w:rsidRPr="00205F40" w:rsidRDefault="00A65DF9" w:rsidP="00205F40">
      <w:pPr>
        <w:pStyle w:val="ad"/>
        <w:spacing w:line="360" w:lineRule="auto"/>
        <w:ind w:left="-142"/>
        <w:jc w:val="both"/>
        <w:rPr>
          <w:rFonts w:ascii="Arial" w:hAnsi="Arial"/>
          <w:b/>
          <w:bCs/>
          <w:noProof w:val="0"/>
          <w:rtl/>
        </w:rPr>
      </w:pPr>
      <w:r w:rsidRPr="00205F40">
        <w:rPr>
          <w:rFonts w:ascii="Arial" w:hAnsi="Arial" w:hint="cs"/>
          <w:b/>
          <w:bCs/>
          <w:noProof w:val="0"/>
          <w:rtl/>
        </w:rPr>
        <w:t>ההחלטה מותרת לפרסום בכפוף להשמטת פרטים מזהים ותיקוני הגהה.</w:t>
      </w:r>
    </w:p>
    <w:p w:rsidR="00A65DF9" w:rsidRPr="00205F40" w:rsidRDefault="00A65DF9" w:rsidP="00A65DF9">
      <w:pPr>
        <w:spacing w:line="360" w:lineRule="auto"/>
        <w:ind w:left="-142" w:hanging="425"/>
        <w:jc w:val="both"/>
        <w:rPr>
          <w:rFonts w:ascii="Arial" w:hAnsi="Arial"/>
          <w:b/>
          <w:bCs/>
          <w:noProof w:val="0"/>
          <w:rtl/>
        </w:rPr>
      </w:pPr>
    </w:p>
    <w:p w:rsidR="00A65DF9" w:rsidRPr="00205F40" w:rsidRDefault="00A65DF9" w:rsidP="00205F40">
      <w:pPr>
        <w:pStyle w:val="ad"/>
        <w:spacing w:line="360" w:lineRule="auto"/>
        <w:ind w:left="-142"/>
        <w:jc w:val="both"/>
        <w:rPr>
          <w:rFonts w:ascii="Arial" w:hAnsi="Arial"/>
          <w:b/>
          <w:bCs/>
          <w:noProof w:val="0"/>
          <w:rtl/>
        </w:rPr>
      </w:pPr>
      <w:r w:rsidRPr="00205F40">
        <w:rPr>
          <w:rFonts w:ascii="Arial" w:hAnsi="Arial" w:hint="cs"/>
          <w:b/>
          <w:bCs/>
          <w:noProof w:val="0"/>
          <w:rtl/>
        </w:rPr>
        <w:t>המזכירות תמציא את ההחלטה לצדדים.</w:t>
      </w:r>
    </w:p>
    <w:p w:rsidR="00A65DF9" w:rsidRDefault="00A65DF9" w:rsidP="00A65DF9">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נובמבר 2024</w:t>
          </w:r>
        </w:sdtContent>
      </w:sdt>
      <w:r w:rsidR="00005C8B">
        <w:rPr>
          <w:rFonts w:ascii="Arial" w:hAnsi="Arial"/>
          <w:noProof w:val="0"/>
          <w:rtl/>
        </w:rPr>
        <w:t>, בהעדר הצדדים.</w:t>
      </w:r>
    </w:p>
    <w:p w:rsidR="00C43648" w:rsidRDefault="00CB1DF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220335124"/>
        </w:sdtPr>
        <w:sdtEndPr/>
        <w:sdtContent>
          <w:r w:rsidR="0067109D">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312A2C">
      <w:headerReference w:type="default" r:id="rId11"/>
      <w:footerReference w:type="default" r:id="rId12"/>
      <w:pgSz w:w="11907" w:h="16840" w:code="9"/>
      <w:pgMar w:top="454" w:right="1701" w:bottom="993"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DF1" w:rsidRDefault="00CB1DF1">
      <w:r>
        <w:separator/>
      </w:r>
    </w:p>
  </w:endnote>
  <w:endnote w:type="continuationSeparator" w:id="0">
    <w:p w:rsidR="00CB1DF1" w:rsidRDefault="00CB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F41D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F41D0">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DF1" w:rsidRDefault="00CB1DF1">
      <w:r>
        <w:separator/>
      </w:r>
    </w:p>
  </w:footnote>
  <w:footnote w:type="continuationSeparator" w:id="0">
    <w:p w:rsidR="00CB1DF1" w:rsidRDefault="00CB1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70"/>
      <w:gridCol w:w="353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B1DF1" w:rsidP="00254030">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64059-09-24</w:t>
              </w:r>
            </w:sdtContent>
          </w:sdt>
          <w:r w:rsidR="00005C8B">
            <w:rPr>
              <w:b/>
              <w:bCs/>
              <w:noProof w:val="0"/>
              <w:sz w:val="26"/>
              <w:szCs w:val="26"/>
              <w:rtl/>
            </w:rPr>
            <w:t xml:space="preserve"> </w:t>
          </w:r>
          <w:sdt>
            <w:sdtPr>
              <w:rPr>
                <w:rtl/>
              </w:rPr>
              <w:alias w:val="1172"/>
              <w:tag w:val="1172"/>
              <w:id w:val="-595170033"/>
              <w:text w:multiLine="1"/>
            </w:sdtPr>
            <w:sdtEndPr/>
            <w:sdtContent>
              <w:r w:rsidR="00254030">
                <w:rPr>
                  <w:rFonts w:hint="cs"/>
                  <w:b/>
                  <w:bCs/>
                  <w:noProof w:val="0"/>
                  <w:sz w:val="26"/>
                  <w:szCs w:val="26"/>
                  <w:rtl/>
                </w:rPr>
                <w:t>פלונית</w:t>
              </w:r>
              <w:r w:rsidR="00064651">
                <w:rPr>
                  <w:b/>
                  <w:bCs/>
                  <w:noProof w:val="0"/>
                  <w:sz w:val="26"/>
                  <w:szCs w:val="26"/>
                  <w:rtl/>
                </w:rPr>
                <w:t xml:space="preserve"> נ' </w:t>
              </w:r>
              <w:r w:rsidR="00254030">
                <w:rPr>
                  <w:rFonts w:hint="cs"/>
                  <w:b/>
                  <w:bCs/>
                  <w:noProof w:val="0"/>
                  <w:sz w:val="26"/>
                  <w:szCs w:val="26"/>
                  <w:rtl/>
                </w:rPr>
                <w:t>פלוני</w:t>
              </w:r>
            </w:sdtContent>
          </w:sdt>
        </w:p>
        <w:p w:rsidR="007D45E3" w:rsidRPr="007B7765" w:rsidRDefault="007D45E3" w:rsidP="007D45E3">
          <w:pPr>
            <w:rPr>
              <w:b/>
              <w:bCs/>
              <w:noProof w:val="0"/>
              <w:sz w:val="2"/>
              <w:szCs w:val="2"/>
              <w:rtl/>
            </w:rPr>
          </w:pPr>
        </w:p>
        <w:p w:rsidR="008D10B2" w:rsidRDefault="007D45E3" w:rsidP="00A71ACC">
          <w:pPr>
            <w:rPr>
              <w:sz w:val="20"/>
              <w:szCs w:val="20"/>
              <w:rtl/>
            </w:rPr>
          </w:pPr>
          <w:r>
            <w:rPr>
              <w:rFonts w:hint="cs"/>
              <w:rtl/>
            </w:rPr>
            <w:t xml:space="preserve">                           </w:t>
          </w:r>
          <w:r>
            <w:rPr>
              <w:rFonts w:hint="cs"/>
              <w:sz w:val="20"/>
              <w:szCs w:val="20"/>
              <w:rtl/>
            </w:rPr>
            <w:t xml:space="preserve">                                       </w:t>
          </w:r>
        </w:p>
        <w:p w:rsidR="00A71ACC" w:rsidRPr="00A71ACC" w:rsidRDefault="00A71ACC" w:rsidP="00A71ACC">
          <w:pPr>
            <w:tabs>
              <w:tab w:val="left" w:pos="5102"/>
            </w:tabs>
            <w:rPr>
              <w:sz w:val="26"/>
              <w:szCs w:val="26"/>
              <w:rtl/>
            </w:rPr>
          </w:pPr>
          <w:r>
            <w:rPr>
              <w:sz w:val="20"/>
              <w:szCs w:val="20"/>
              <w:rtl/>
            </w:rPr>
            <w:tab/>
          </w:r>
          <w:r w:rsidRPr="00A71ACC">
            <w:rPr>
              <w:rFonts w:hint="cs"/>
              <w:sz w:val="26"/>
              <w:szCs w:val="26"/>
              <w:rtl/>
            </w:rPr>
            <w:t>מספר בקשות : 1, 2, 3</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7D57"/>
    <w:multiLevelType w:val="hybridMultilevel"/>
    <w:tmpl w:val="8CE84B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62E0335"/>
    <w:multiLevelType w:val="hybridMultilevel"/>
    <w:tmpl w:val="7116CDD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2905A9"/>
    <w:multiLevelType w:val="hybridMultilevel"/>
    <w:tmpl w:val="9CFE6B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901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90152&amp;lt;/CaseID&amp;gt;_x000d__x000a_        &amp;lt;CaseMonth&amp;gt;9&amp;lt;/CaseMonth&amp;gt;_x000d__x000a_        &amp;lt;CaseYear&amp;gt;2024&amp;lt;/CaseYear&amp;gt;_x000d__x000a_        &amp;lt;CaseNumber&amp;gt;64059&amp;lt;/CaseNumber&amp;gt;_x000d__x000a_        &amp;lt;NumeratorGroupID&amp;gt;1&amp;lt;/NumeratorGroupID&amp;gt;_x000d__x000a_        &amp;lt;CaseName&amp;gt;יצחקי נ&amp;#39; יצחקי&amp;lt;/CaseName&amp;gt;_x000d__x000a_        &amp;lt;CourtID&amp;gt;26&amp;lt;/CourtID&amp;gt;_x000d__x000a_        &amp;lt;CaseTypeID&amp;gt;10262&amp;lt;/CaseTypeID&amp;gt;_x000d__x000a_        &amp;lt;CaseInterestID&amp;gt;10118&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4059-09-24&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9-23T11:47: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90152&amp;lt;/CaseID&amp;gt;_x000d__x000a_        &amp;lt;CaseMonth&amp;gt;9&amp;lt;/CaseMonth&amp;gt;_x000d__x000a_        &amp;lt;CaseYear&amp;gt;2024&amp;lt;/CaseYear&amp;gt;_x000d__x000a_        &amp;lt;CaseNumber&amp;gt;64059&amp;lt;/CaseNumber&amp;gt;_x000d__x000a_        &amp;lt;NumeratorGroupID&amp;gt;1&amp;lt;/NumeratorGroupID&amp;gt;_x000d__x000a_        &amp;lt;CaseName&amp;gt;יצחקי נ&amp;#39; יצחקי&amp;lt;/CaseName&amp;gt;_x000d__x000a_        &amp;lt;CourtID&amp;gt;26&amp;lt;/CourtID&amp;gt;_x000d__x000a_        &amp;lt;CaseTypeID&amp;gt;10262&amp;lt;/CaseTypeID&amp;gt;_x000d__x000a_        &amp;lt;CaseInterestID&amp;gt;10118&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4059-09-24&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4-09-23T11:47: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926581&amp;lt;/DecisionID&amp;gt;_x000d__x000a_        &amp;lt;DecisionNumber&amp;gt;1&amp;lt;/DecisionNumber&amp;gt;_x000d__x000a_        &amp;lt;DecisionName&amp;gt;החלטה על בקשה של תובע 1 בקשה לקביעת סמכות עניינית בענייני מזונות הקטינים לבית המשפט&amp;lt;/DecisionName&amp;gt;_x000d__x000a_        &amp;lt;DecisionStatusID&amp;gt;1&amp;lt;/DecisionStatusID&amp;gt;_x000d__x000a_        &amp;lt;DecisionStatusChangeDate&amp;gt;2024-11-10T14:19:16.467+02:00&amp;lt;/DecisionStatusChangeDate&amp;gt;_x000d__x000a_        &amp;lt;DecisionSignatureDate&amp;gt;2024-11-10T13:39:08.883+02:00&amp;lt;/DecisionSignatureDate&amp;gt;_x000d__x000a_        &amp;lt;DecisionSignatureUserID&amp;gt;033554098@GOV.IL&amp;lt;/DecisionSignatureUserID&amp;gt;_x000d__x000a_        &amp;lt;DecisionCreateDate&amp;gt;2024-11-10T10:51:19.58+02:00&amp;lt;/DecisionCreateDate&amp;gt;_x000d__x000a_        &amp;lt;DecisionChangeDate&amp;gt;2024-11-10T14:19:16.567+02: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000412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החלטה על בקשה של תובע 1 בקשה לקביעת סמכות עניינית בענייני מזונות הקטינים לבית המשפט&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5926581&amp;lt;/DecisionID&amp;gt;_x000d__x000a_        &amp;lt;CaseID&amp;gt;81990152&amp;lt;/CaseID&amp;gt;_x000d__x000a_        &amp;lt;IsOriginal&amp;gt;true&amp;lt;/IsOriginal&amp;gt;_x000d__x000a_        &amp;lt;IsDeleted&amp;gt;false&amp;lt;/IsDeleted&amp;gt;_x000d__x000a_        &amp;lt;CaseName&amp;gt;יצחקי נ&amp;#39; יצחקי&amp;lt;/CaseName&amp;gt;_x000d__x000a_        &amp;lt;CaseDisplayIdentifier&amp;gt;64059-09-24 תלה&amp;quot;מ&amp;lt;/CaseDisplayIdentifier&amp;gt;_x000d__x000a_      &amp;lt;/dt_DecisionCase&amp;gt;_x000d__x000a_      &amp;lt;dt_DecisionMotion diffgr:id=&amp;quot;dt_DecisionMotion1&amp;quot; msdata:rowOrder=&amp;quot;0&amp;quot;&amp;gt;_x000d__x000a_        &amp;lt;DecisionID&amp;gt;155926581&amp;lt;/DecisionID&amp;gt;_x000d__x000a_        &amp;lt;MotionID&amp;gt;109783783&amp;lt;/MotionID&amp;gt;_x000d__x000a_        &amp;lt;IsOriginalMotion&amp;gt;true&amp;lt;/IsOriginalMotion&amp;gt;_x000d__x000a_        &amp;lt;MotionName&amp;gt;בקשה של תובע 1 בקשה לקביעת סמכות עניינית בענייני מזונות הקטינים לבית המשפט&amp;lt;/MotionName&amp;gt;_x000d__x000a_        &amp;lt;MotionOpenDate&amp;gt;2024-10-01T09:38:14.833+03:00&amp;lt;/MotionOpenDate&amp;gt;_x000d__x000a_        &amp;lt;CaseID&amp;gt;81990152&amp;lt;/CaseID&amp;gt;_x000d__x000a_        &amp;lt;CaseDisplayIdentifier&amp;gt;64059-09-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5926581"/>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71F3E"/>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15E7"/>
    <w:rsid w:val="00180519"/>
    <w:rsid w:val="00191C82"/>
    <w:rsid w:val="001C4003"/>
    <w:rsid w:val="001D4DBF"/>
    <w:rsid w:val="001E75CA"/>
    <w:rsid w:val="00200E68"/>
    <w:rsid w:val="00205F40"/>
    <w:rsid w:val="002265FF"/>
    <w:rsid w:val="00234943"/>
    <w:rsid w:val="00254030"/>
    <w:rsid w:val="00271B56"/>
    <w:rsid w:val="0028443A"/>
    <w:rsid w:val="002C344E"/>
    <w:rsid w:val="002C3F4A"/>
    <w:rsid w:val="002E75E9"/>
    <w:rsid w:val="00307A6A"/>
    <w:rsid w:val="00307C40"/>
    <w:rsid w:val="00312A2C"/>
    <w:rsid w:val="00320433"/>
    <w:rsid w:val="003230C7"/>
    <w:rsid w:val="00327E50"/>
    <w:rsid w:val="0033597A"/>
    <w:rsid w:val="00343D89"/>
    <w:rsid w:val="00362612"/>
    <w:rsid w:val="0036743F"/>
    <w:rsid w:val="003715DD"/>
    <w:rsid w:val="003823E0"/>
    <w:rsid w:val="003A4521"/>
    <w:rsid w:val="003C0569"/>
    <w:rsid w:val="003D1C8C"/>
    <w:rsid w:val="0040096C"/>
    <w:rsid w:val="00414F1F"/>
    <w:rsid w:val="0043125D"/>
    <w:rsid w:val="0043502B"/>
    <w:rsid w:val="004443AC"/>
    <w:rsid w:val="00444B02"/>
    <w:rsid w:val="00451E28"/>
    <w:rsid w:val="00462C62"/>
    <w:rsid w:val="00465D36"/>
    <w:rsid w:val="00473615"/>
    <w:rsid w:val="004B398A"/>
    <w:rsid w:val="004C054A"/>
    <w:rsid w:val="004C17EE"/>
    <w:rsid w:val="004C265A"/>
    <w:rsid w:val="004C4BDF"/>
    <w:rsid w:val="004D1187"/>
    <w:rsid w:val="004D3AA0"/>
    <w:rsid w:val="004E1987"/>
    <w:rsid w:val="004E2E15"/>
    <w:rsid w:val="004E6E3C"/>
    <w:rsid w:val="00503E42"/>
    <w:rsid w:val="00520898"/>
    <w:rsid w:val="00523621"/>
    <w:rsid w:val="00524986"/>
    <w:rsid w:val="005268F6"/>
    <w:rsid w:val="00534284"/>
    <w:rsid w:val="005427C5"/>
    <w:rsid w:val="00547DB7"/>
    <w:rsid w:val="005C086D"/>
    <w:rsid w:val="005C66D7"/>
    <w:rsid w:val="005E2A74"/>
    <w:rsid w:val="005F41D0"/>
    <w:rsid w:val="005F4F09"/>
    <w:rsid w:val="0061431B"/>
    <w:rsid w:val="00622BAA"/>
    <w:rsid w:val="006306CF"/>
    <w:rsid w:val="00644E9A"/>
    <w:rsid w:val="0067109D"/>
    <w:rsid w:val="00671BD5"/>
    <w:rsid w:val="006805C1"/>
    <w:rsid w:val="00686C21"/>
    <w:rsid w:val="006931C1"/>
    <w:rsid w:val="00694556"/>
    <w:rsid w:val="006C30C5"/>
    <w:rsid w:val="006C4820"/>
    <w:rsid w:val="006D3B31"/>
    <w:rsid w:val="006E0D96"/>
    <w:rsid w:val="006E1A53"/>
    <w:rsid w:val="006F56E6"/>
    <w:rsid w:val="006F5D10"/>
    <w:rsid w:val="00704EDA"/>
    <w:rsid w:val="00721122"/>
    <w:rsid w:val="00753019"/>
    <w:rsid w:val="00754801"/>
    <w:rsid w:val="00761441"/>
    <w:rsid w:val="00795365"/>
    <w:rsid w:val="007A351D"/>
    <w:rsid w:val="007B35DE"/>
    <w:rsid w:val="007B41E5"/>
    <w:rsid w:val="007B4834"/>
    <w:rsid w:val="007B7765"/>
    <w:rsid w:val="007B7E62"/>
    <w:rsid w:val="007C5BDD"/>
    <w:rsid w:val="007D45E3"/>
    <w:rsid w:val="007E6115"/>
    <w:rsid w:val="007F4609"/>
    <w:rsid w:val="00814468"/>
    <w:rsid w:val="008176A1"/>
    <w:rsid w:val="00820005"/>
    <w:rsid w:val="00820413"/>
    <w:rsid w:val="00844318"/>
    <w:rsid w:val="0086061C"/>
    <w:rsid w:val="00863F5D"/>
    <w:rsid w:val="00870890"/>
    <w:rsid w:val="00873602"/>
    <w:rsid w:val="00875D12"/>
    <w:rsid w:val="00881CCE"/>
    <w:rsid w:val="0088479D"/>
    <w:rsid w:val="00896889"/>
    <w:rsid w:val="00897DAF"/>
    <w:rsid w:val="008C5714"/>
    <w:rsid w:val="008C70C3"/>
    <w:rsid w:val="008D10B2"/>
    <w:rsid w:val="008D1A14"/>
    <w:rsid w:val="008F753E"/>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23C1A"/>
    <w:rsid w:val="00A3392B"/>
    <w:rsid w:val="00A57ED7"/>
    <w:rsid w:val="00A65DF9"/>
    <w:rsid w:val="00A71ACC"/>
    <w:rsid w:val="00A77A2C"/>
    <w:rsid w:val="00A85E34"/>
    <w:rsid w:val="00A94B64"/>
    <w:rsid w:val="00AA3229"/>
    <w:rsid w:val="00AA5F39"/>
    <w:rsid w:val="00AA7596"/>
    <w:rsid w:val="00AB5E52"/>
    <w:rsid w:val="00AC1527"/>
    <w:rsid w:val="00AC30D6"/>
    <w:rsid w:val="00AC3B02"/>
    <w:rsid w:val="00AC3B7B"/>
    <w:rsid w:val="00AC5209"/>
    <w:rsid w:val="00AE0933"/>
    <w:rsid w:val="00AE0E34"/>
    <w:rsid w:val="00AE729E"/>
    <w:rsid w:val="00AE7752"/>
    <w:rsid w:val="00AF7FDA"/>
    <w:rsid w:val="00B03189"/>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B1DF1"/>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04EE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240F"/>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C66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7662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61DAE" w:rsidP="00E61DAE">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E5C"/>
    <w:rsid w:val="000A4ACE"/>
    <w:rsid w:val="002A56A9"/>
    <w:rsid w:val="002D02C4"/>
    <w:rsid w:val="00345C9D"/>
    <w:rsid w:val="00405FEA"/>
    <w:rsid w:val="004745AE"/>
    <w:rsid w:val="0048651F"/>
    <w:rsid w:val="005157ED"/>
    <w:rsid w:val="00556D67"/>
    <w:rsid w:val="00662E53"/>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61DAE"/>
    <w:rsid w:val="00E81DB1"/>
    <w:rsid w:val="00E91DF7"/>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61DA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שרון סגל</FullName>
        <FirstName>שרון</FirstName>
        <LastName>סגל</LastName>
        <PartyPropertyName/>
        <AuthenticationTypeAndNumber>מ.ר. 62134</AuthenticationTypeAndNumber>
        <RepresentatedOrRepresentativesNames>גיא יצחקי</RepresentatedOrRepresentativesNames>
        <RepresentatedOrRepresentativesCount>1</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279181887</CasePartyID>
        <PartyTypeID>2</PartyTypeID>
        <ActivityStatusID>1</ActivityStatusID>
        <PartyAliasID>21</PartyAliasID>
        <PartyAliasName>בא כוח נתבעים</PartyAliasName>
        <LegalEntityID>71670088</LegalEntityID>
        <CaseLegalEntityID>132815497</CaseLegalEntityID>
        <AuthenticationTypeID>4</AuthenticationTypeID>
        <AuthenticationTypeName>מ.ר.</AuthenticationTypeName>
        <LegalEntityNumber>62134</LegalEntityNumber>
        <IsMainPartyType>true</IsMainPartyType>
        <CaseDisplayIdentifier>64059-09-24</CaseDisplayIdentifier>
        <CaseTypeID>10262</CaseTypeID>
        <CaseTypeName>תביעה לאחר הסדר התדיינויות במשפחה (תלה"מ)</CaseTypeName>
        <CaseName>יצחקי נ' יצחקי</CaseName>
        <FullAddress>גיבורי ישראל 24 נתניה </FullAddress>
        <EmailAddress>sharon.segal1@gmail.com</EmailAddress>
        <MotionID>0</MotionID>
        <CasePleaID>0</CasePleaID>
        <LinkedCaseID>0</LinkedCaseID>
        <PartyID>2</PartyID>
        <CasePartyCategoryID>2</CasePartyCategoryID>
        <LegalEntityAddressID>79931418</LegalEntityAddressID>
        <LegalEntityEmailAddressID>67881878</LegalEntityEmailAddressID>
        <PleaTypeID>4</PleaTypeID>
        <LawyerOfficeName>משרד עו"ד שרון סגל</LawyerOfficeName>
        <LawyerOfficeID>71670090</LawyerOfficeID>
        <GroupPartyAlias/>
        <IsConverted>false</IsConverted>
        <LegalEntityNameID>75005651</LegalEntityNameID>
        <RepresentatedNamesOfAssistant/>
        <LegalEntityTypeID>4</LegalEntityTypeID>
        <IsVerdictExists>false</IsVerdictExists>
        <IsAsirAzir>false</IsAsirAzir>
        <MainAndSecSpec/>
        <IsPublicationProhibited>false</IsPublicationProhibited>
        <PublicationProhibitedFullName>שרון סגל</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יונתן יצחקי (קטין)</FullName>
        <FirstName>יונתן</FirstName>
        <LastName>יצחקי</LastName>
        <PartyPropertyID>2</PartyPropertyID>
        <PartyPropertyName/>
        <AuthenticationTypeAndNumber>ת"ז </AuthenticationTypeAndNumber>
        <RepresentatedOrRepresentativesNames/>
        <RepresentatedOrRepresentativesCount>0</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277932066</CasePartyID>
        <PartyTypeID>3</PartyTypeID>
        <ActivityStatusID>1</ActivityStatusID>
        <LegalEntityID>82983630</LegalEntityID>
        <CaseLegalEntityID>132418924</CaseLegalEntityID>
        <AssistantRoleID>104</AssistantRoleID>
        <AuthenticationTypeID>1</AuthenticationTypeID>
        <AuthenticationTypeName>ת"ז</AuthenticationTypeName>
        <IsMainPartyType>true</IsMainPartyType>
        <CaseDisplayIdentifier>64059-09-24</CaseDisplayIdentifier>
        <CaseTypeID>10262</CaseTypeID>
        <CaseTypeName>תביעה לאחר הסדר התדיינויות במשפחה (תלה"מ)</CaseTypeName>
        <CaseName>יצחקי נ' יצחקי</CaseName>
        <FullAddress/>
        <MotionID>0</MotionID>
        <CasePleaID>0</CasePleaID>
        <BirthDate>2019-11-04T00:00:00+02:00</BirthDate>
        <LinkedCaseID>0</LinkedCaseID>
        <PartyID>1</PartyID>
        <CasePartyCategoryID>2</CasePartyCategoryID>
        <PleaTypeID>4</PleaTypeID>
        <GroupPartyAlias/>
        <IsConverted>false</IsConverted>
        <LegalEntityNameID>98264623</LegalEntityNameID>
        <RepresentatedNamesOfAssistant/>
        <LegalEntityTypeID>1</LegalEntityTypeID>
        <IsVerdictExists>false</IsVerdictExists>
        <IsAsirAzir>false</IsAsirAzir>
        <MainAndSecSpec/>
        <IsPublicationProhibited>false</IsPublicationProhibited>
        <PublicationProhibitedFullName>יונתן יצחקי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אריאל יצחקי (קטין)</FullName>
        <FirstName>אריאל</FirstName>
        <LastName>יצחקי</LastName>
        <PartyPropertyID>2</PartyPropertyID>
        <PartyPropertyName/>
        <AuthenticationTypeAndNumber>ת"ז 233909993</AuthenticationTypeAndNumber>
        <RepresentatedOrRepresentativesNames/>
        <RepresentatedOrRepresentativesCount>0</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277932110</CasePartyID>
        <PartyTypeID>3</PartyTypeID>
        <ActivityStatusID>1</ActivityStatusID>
        <LegalEntityID>82983633</LegalEntityID>
        <CaseLegalEntityID>132418931</CaseLegalEntityID>
        <AssistantRoleID>104</AssistantRoleID>
        <AuthenticationTypeID>1</AuthenticationTypeID>
        <AuthenticationTypeName>ת"ז</AuthenticationTypeName>
        <LegalEntityNumber>233909993</LegalEntityNumber>
        <IsMainPartyType>true</IsMainPartyType>
        <CaseDisplayIdentifier>64059-09-24</CaseDisplayIdentifier>
        <CaseTypeID>10262</CaseTypeID>
        <CaseTypeName>תביעה לאחר הסדר התדיינויות במשפחה (תלה"מ)</CaseTypeName>
        <CaseName>יצחקי נ' יצחקי</CaseName>
        <FullAddress/>
        <MotionID>0</MotionID>
        <CasePleaID>0</CasePleaID>
        <BirthDate>2021-02-12T00:00:00+02:00</BirthDate>
        <FatherName>גיא</FatherName>
        <LinkedCaseID>0</LinkedCaseID>
        <PartyID>1</PartyID>
        <CasePartyCategoryID>2</CasePartyCategoryID>
        <PleaTypeID>4</PleaTypeID>
        <GroupPartyAlias/>
        <IsConverted>false</IsConverted>
        <LegalEntityRegisteredNameID>10903746</LegalEntityRegisteredNameID>
        <LegalEntityNameID>98264627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 יצחקי (קטין)</PublicationProhibitedFullName>
      </CaseParties>
      <CaseParties>
        <PartyTypeName>צד</PartyTypeName>
        <ProceedingType>בקשות</ProceedingType>
        <PleaName>בקשה של תובע 1 בקשה לקביעת סמכות עניינית בענייני מזונות הקטינים לבית המשפט</PleaName>
        <PartyBelonging>צד א'</PartyBelonging>
        <RoleName>מבקש 1</RoleName>
        <IsSubProceeding>TRUE</IsSubProceeding>
        <FullName>רותם יצחקי</FullName>
        <FirstName>רותם</FirstName>
        <LastName>יצחקי</LastName>
        <PartyPropertyName/>
        <AuthenticationTypeAndNumber>ת"ז 305781965</AuthenticationTypeAndNumber>
        <RepresentatedOrRepresentativesNames>טל זלץ</RepresentatedOrRepresentativesNames>
        <RepresentatedOrRepresentativesCount>1</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278222981</CasePartyID>
        <PartyTypeID>1</PartyTypeID>
        <ActivityStatusID>1</ActivityStatusID>
        <PartyAliasID>3</PartyAliasID>
        <PartyAliasName>מבקש</PartyAliasName>
        <OrdinalNumber>1</OrdinalNumber>
        <LegalEntityID>71775256</LegalEntityID>
        <CaseLegalEntityID>132418664</CaseLegalEntityID>
        <AuthenticationTypeID>1</AuthenticationTypeID>
        <AuthenticationTypeName>ת"ז</AuthenticationTypeName>
        <LegalEntityNumber>305781965</LegalEntityNumber>
        <IsMainPartyType>false</IsMainPartyType>
        <CaseDisplayIdentifier>64059-09-24</CaseDisplayIdentifier>
        <CaseTypeID>10262</CaseTypeID>
        <CaseTypeName>תביעה לאחר הסדר התדיינויות במשפחה (תלה"מ)</CaseTypeName>
        <CaseName>יצחקי נ' יצחקי</CaseName>
        <FullAddress>שער הגיא 6 חיפה </FullAddress>
        <MotionID>109783783</MotionID>
        <CasePleaID>0</CasePleaID>
        <FatherName>משה</FatherName>
        <LinkedCaseID>0</LinkedCaseID>
        <PartyID>1</PartyID>
        <CasePartyCategoryID>4</CasePartyCategoryID>
        <LegalEntityAddressID>90994157</LegalEntityAddressID>
        <PleaTypeID>60</PleaTypeID>
        <GroupPartyAlias>מבקשים</GroupPartyAlias>
        <IsConverted>false</IsConverted>
        <LegalEntityRegisteredNameID>10903737</LegalEntityRegisteredNameID>
        <LegalEntityNameID>98264528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רותם יצחקי</PublicationProhibitedFullName>
      </CaseParties>
      <CaseParties>
        <PartyTypeName>צד</PartyTypeName>
        <ProceedingType>בקשות</ProceedingType>
        <PleaName>בקשה של תובע 1 בקשה לקביעת סמכות עניינית בענייני מזונות הקטינים לבית המשפט</PleaName>
        <PartyBelonging>צד ב'</PartyBelonging>
        <RoleName>משיב 1</RoleName>
        <IsSubProceeding>TRUE</IsSubProceeding>
        <FullName>גיא יצחקי</FullName>
        <FirstName>גיא</FirstName>
        <LastName>יצחקי</LastName>
        <PartyPropertyName/>
        <AuthenticationTypeAndNumber>ת"ז 036856599</AuthenticationTypeAndNumber>
        <RepresentatedOrRepresentativesNames>שרון סגל</RepresentatedOrRepresentativesNames>
        <RepresentatedOrRepresentativesCount>1</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278222982</CasePartyID>
        <PartyTypeID>1</PartyTypeID>
        <ActivityStatusID>1</ActivityStatusID>
        <PartyAliasID>4</PartyAliasID>
        <PartyAliasName>משיב</PartyAliasName>
        <OrdinalNumber>1</OrdinalNumber>
        <LegalEntityID>77977696</LegalEntityID>
        <CaseLegalEntityID>132418666</CaseLegalEntityID>
        <AuthenticationTypeID>1</AuthenticationTypeID>
        <AuthenticationTypeName>ת"ז</AuthenticationTypeName>
        <LegalEntityNumber>036856599</LegalEntityNumber>
        <IsMainPartyType>false</IsMainPartyType>
        <CaseDisplayIdentifier>64059-09-24</CaseDisplayIdentifier>
        <CaseTypeID>10262</CaseTypeID>
        <CaseTypeName>תביעה לאחר הסדר התדיינויות במשפחה (תלה"מ)</CaseTypeName>
        <CaseName>יצחקי נ' יצחקי</CaseName>
        <FullAddress>הדקל 22 עתלית </FullAddress>
        <MotionID>109783783</MotionID>
        <CasePleaID>0</CasePleaID>
        <FatherName>בוריס</FatherName>
        <LinkedCaseID>0</LinkedCaseID>
        <PartyID>2</PartyID>
        <CasePartyCategoryID>4</CasePartyCategoryID>
        <LegalEntityAddressID>90994158</LegalEntityAddressID>
        <PleaTypeID>60</PleaTypeID>
        <GroupPartyAlias>משיבים</GroupPartyAlias>
        <IsConverted>false</IsConverted>
        <LegalEntityRegisteredNameID>8441850</LegalEntityRegisteredNameID>
        <LegalEntityNameID>98264529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יצחקי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זלץ</FullName>
        <FirstName>טל</FirstName>
        <LastName>זלץ</LastName>
        <PartyPropertyName/>
        <AuthenticationTypeAndNumber>מ.ר. 36490</AuthenticationTypeAndNumber>
        <RepresentatedOrRepresentativesNames>רותם יצחקי</RepresentatedOrRepresentativesNames>
        <RepresentatedOrRepresentativesCount>1</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277931238</CasePartyID>
        <PartyTypeID>2</PartyTypeID>
        <ActivityStatusID>1</ActivityStatusID>
        <PartyAliasID>20</PartyAliasID>
        <PartyAliasName>בא כוח תובעים</PartyAliasName>
        <OrdinalNumber>1</OrdinalNumber>
        <LegalEntityID>408834</LegalEntityID>
        <CaseLegalEntityID>132418665</CaseLegalEntityID>
        <AuthenticationTypeID>4</AuthenticationTypeID>
        <AuthenticationTypeName>מ.ר.</AuthenticationTypeName>
        <LegalEntityNumber>36490</LegalEntityNumber>
        <IsMainPartyType>true</IsMainPartyType>
        <CaseDisplayIdentifier>64059-09-24</CaseDisplayIdentifier>
        <CaseTypeID>10262</CaseTypeID>
        <CaseTypeName>תביעה לאחר הסדר התדיינויות במשפחה (תלה"מ)</CaseTypeName>
        <CaseName>יצחקי נ' יצחקי</CaseName>
        <FullAddress>שד' פל-ים 2 חיפה בנין אורן 1 קומה 1</FullAddress>
        <EmailAddress>talzaltz1@gmail.com</EmailAddress>
        <MotionID>0</MotionID>
        <CasePleaID>0</CasePleaID>
        <FatherName xml:space="preserve">        </FatherName>
        <LinkedCaseID>0</LinkedCaseID>
        <PartyID>1</PartyID>
        <CasePartyCategoryID>2</CasePartyCategoryID>
        <LegalEntityAddressID>5525931</LegalEntityAddressID>
        <LegalEntityEmailAddressID>68067032</LegalEntityEmailAddressID>
        <PleaTypeID>4</PleaTypeID>
        <LawyerOfficeName>משרד עו"ד: טל זלץ</LawyerOfficeName>
        <LawyerOfficeID>449478</LawyerOfficeID>
        <GroupPartyAlias/>
        <IsConverted>false</IsConverted>
        <LegalEntityNameID>29818</LegalEntityNameID>
        <RepresentatedNamesOfAssistant/>
        <LegalEntityTypeID>4</LegalEntityTypeID>
        <IsVerdictExists>false</IsVerdictExists>
        <IsAsirAzir>false</IsAsirAzir>
        <MainAndSecSpec/>
        <IsPublicationProhibited>false</IsPublicationProhibited>
        <PublicationProhibitedFullName>טל זלץ</PublicationProhibitedFullName>
      </CaseParties>
    </CasePartiesSelectionDS>
    <DecisionName>החלטה</DecisionName>
    <CourtDisplayName>בית משפט לענייני משפחה בחיפה</CourtDisplayName>
    <IsCaseJudgePanel>false</IsCaseJudgePanel>
    <DecisionSignatureDate>2024-11-10T10:46:06.9311314+02:00</DecisionSignatureDate>
    <OpenCaseDate>2024-09-23T11:47:00+03:00</OpenCaseDate>
    <CaseFeeSum>0.000</CaseFeeSum>
    <DecisionTypeID>1</DecisionTypeID>
    <DecisionSignatureUserName>לירון זרבל- קדשאי</DecisionSignatureUserName>
    <MotionID>109783783</MotionID>
    <DecisionSignatureDateHebrew>2024-11-10T10:46:06.9311314+02:00</DecisionSignatureDateHebrew>
    <MotionNumber>1</MotionNumber>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יצחקי נ' יצחקי</CaseName>
    <DecisionNumberInCase>3</DecisionNumberInCase>
  </dt_Decision>
  <dt_DecisionCase>
    <DecisionID>0</DecisionID>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שרון סגל</FullName>
        <FirstName>שרון</FirstName>
        <LastName>סגל</LastName>
        <PartyPropertyName/>
        <AuthenticationTypeAndNumber>מ.ר. 62134</AuthenticationTypeAndNumber>
        <RepresentatedOrRepresentativesNames>גיא יצחקי</RepresentatedOrRepresentativesNames>
        <RepresentatedOrRepresentativesCount>1</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279181887</CasePartyID>
        <PartyTypeID>2</PartyTypeID>
        <ActivityStatusID>1</ActivityStatusID>
        <PartyAliasID>21</PartyAliasID>
        <PartyAliasName>בא כוח נתבעים</PartyAliasName>
        <LegalEntityID>71670088</LegalEntityID>
        <CaseLegalEntityID>132815497</CaseLegalEntityID>
        <AuthenticationTypeID>4</AuthenticationTypeID>
        <AuthenticationTypeName>מ.ר.</AuthenticationTypeName>
        <LegalEntityNumber>62134</LegalEntityNumber>
        <IsMainPartyType>true</IsMainPartyType>
        <CaseDisplayIdentifier>64059-09-24</CaseDisplayIdentifier>
        <CaseTypeID>10262</CaseTypeID>
        <CaseTypeName>תביעה לאחר הסדר התדיינויות במשפחה (תלה"מ)</CaseTypeName>
        <CaseName>יצחקי נ' יצחקי</CaseName>
        <FullAddress>גיבורי ישראל 24 נתניה </FullAddress>
        <EmailAddress>sharon.segal1@gmail.com</EmailAddress>
        <MotionID>0</MotionID>
        <CasePleaID>0</CasePleaID>
        <LinkedCaseID>0</LinkedCaseID>
        <PartyID>2</PartyID>
        <CasePartyCategoryID>2</CasePartyCategoryID>
        <LegalEntityAddressID>79931418</LegalEntityAddressID>
        <LegalEntityEmailAddressID>67881878</LegalEntityEmailAddressID>
        <PleaTypeID>4</PleaTypeID>
        <LawyerOfficeName>משרד עו"ד שרון סגל</LawyerOfficeName>
        <LawyerOfficeID>71670090</LawyerOfficeID>
        <GroupPartyAlias/>
        <IsConverted>false</IsConverted>
        <LegalEntityNameID>75005651</LegalEntityNameID>
        <RepresentatedNamesOfAssistant/>
        <LegalEntityTypeID>4</LegalEntityTypeID>
        <IsVerdictExists>false</IsVerdictExists>
        <IsAsirAzir>false</IsAsirAzir>
        <MainAndSecSpec/>
        <IsPublicationProhibited>false</IsPublicationProhibited>
        <PublicationProhibitedFullName>שרון סגל</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יונתן יצחקי (קטין)</FullName>
        <FirstName>יונתן</FirstName>
        <LastName>יצחקי</LastName>
        <PartyPropertyID>2</PartyPropertyID>
        <PartyPropertyName/>
        <AuthenticationTypeAndNumber>ת"ז </AuthenticationTypeAndNumber>
        <RepresentatedOrRepresentativesNames/>
        <RepresentatedOrRepresentativesCount>0</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277932066</CasePartyID>
        <PartyTypeID>3</PartyTypeID>
        <ActivityStatusID>1</ActivityStatusID>
        <LegalEntityID>82983630</LegalEntityID>
        <CaseLegalEntityID>132418924</CaseLegalEntityID>
        <AssistantRoleID>104</AssistantRoleID>
        <AuthenticationTypeID>1</AuthenticationTypeID>
        <AuthenticationTypeName>ת"ז</AuthenticationTypeName>
        <IsMainPartyType>true</IsMainPartyType>
        <CaseDisplayIdentifier>64059-09-24</CaseDisplayIdentifier>
        <CaseTypeID>10262</CaseTypeID>
        <CaseTypeName>תביעה לאחר הסדר התדיינויות במשפחה (תלה"מ)</CaseTypeName>
        <CaseName>יצחקי נ' יצחקי</CaseName>
        <FullAddress/>
        <MotionID>0</MotionID>
        <CasePleaID>0</CasePleaID>
        <BirthDate>2019-11-04T00:00:00+02:00</BirthDate>
        <LinkedCaseID>0</LinkedCaseID>
        <PartyID>1</PartyID>
        <CasePartyCategoryID>2</CasePartyCategoryID>
        <PleaTypeID>4</PleaTypeID>
        <GroupPartyAlias/>
        <IsConverted>false</IsConverted>
        <LegalEntityNameID>98264623</LegalEntityNameID>
        <RepresentatedNamesOfAssistant/>
        <LegalEntityTypeID>1</LegalEntityTypeID>
        <IsVerdictExists>false</IsVerdictExists>
        <IsAsirAzir>false</IsAsirAzir>
        <MainAndSecSpec/>
        <IsPublicationProhibited>false</IsPublicationProhibited>
        <PublicationProhibitedFullName>יונתן יצחקי (קטין)</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אריאל יצחקי (קטין)</FullName>
        <FirstName>אריאל</FirstName>
        <LastName>יצחקי</LastName>
        <PartyPropertyID>2</PartyPropertyID>
        <PartyPropertyName/>
        <AuthenticationTypeAndNumber>ת"ז 233909993</AuthenticationTypeAndNumber>
        <RepresentatedOrRepresentativesNames/>
        <RepresentatedOrRepresentativesCount>0</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277932110</CasePartyID>
        <PartyTypeID>3</PartyTypeID>
        <ActivityStatusID>1</ActivityStatusID>
        <LegalEntityID>82983633</LegalEntityID>
        <CaseLegalEntityID>132418931</CaseLegalEntityID>
        <AssistantRoleID>104</AssistantRoleID>
        <AuthenticationTypeID>1</AuthenticationTypeID>
        <AuthenticationTypeName>ת"ז</AuthenticationTypeName>
        <LegalEntityNumber>233909993</LegalEntityNumber>
        <IsMainPartyType>true</IsMainPartyType>
        <CaseDisplayIdentifier>64059-09-24</CaseDisplayIdentifier>
        <CaseTypeID>10262</CaseTypeID>
        <CaseTypeName>תביעה לאחר הסדר התדיינויות במשפחה (תלה"מ)</CaseTypeName>
        <CaseName>יצחקי נ' יצחקי</CaseName>
        <FullAddress/>
        <MotionID>0</MotionID>
        <CasePleaID>0</CasePleaID>
        <BirthDate>2021-02-12T00:00:00+02:00</BirthDate>
        <FatherName>גיא</FatherName>
        <LinkedCaseID>0</LinkedCaseID>
        <PartyID>1</PartyID>
        <CasePartyCategoryID>2</CasePartyCategoryID>
        <PleaTypeID>4</PleaTypeID>
        <GroupPartyAlias/>
        <IsConverted>false</IsConverted>
        <LegalEntityRegisteredNameID>10903746</LegalEntityRegisteredNameID>
        <LegalEntityNameID>98264627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 יצחקי (קטין)</PublicationProhibitedFullName>
      </CaseParties>
      <CaseParties>
        <PartyTypeName>צד</PartyTypeName>
        <ProceedingType>בקשות</ProceedingType>
        <PleaName>בקשה של תובע 1 בקשה לקביעת סמכות עניינית בענייני מזונות הקטינים לבית המשפט</PleaName>
        <PartyBelonging>צד א'</PartyBelonging>
        <RoleName>מבקש 1</RoleName>
        <IsSubProceeding>TRUE</IsSubProceeding>
        <FullName>רותם יצחקי</FullName>
        <FirstName>רותם</FirstName>
        <LastName>יצחקי</LastName>
        <PartyPropertyName/>
        <AuthenticationTypeAndNumber>ת"ז 305781965</AuthenticationTypeAndNumber>
        <RepresentatedOrRepresentativesNames>טל זלץ</RepresentatedOrRepresentativesNames>
        <RepresentatedOrRepresentativesCount>1</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278222981</CasePartyID>
        <PartyTypeID>1</PartyTypeID>
        <ActivityStatusID>1</ActivityStatusID>
        <PartyAliasID>3</PartyAliasID>
        <PartyAliasName>מבקש</PartyAliasName>
        <OrdinalNumber>1</OrdinalNumber>
        <LegalEntityID>71775256</LegalEntityID>
        <CaseLegalEntityID>132418664</CaseLegalEntityID>
        <AuthenticationTypeID>1</AuthenticationTypeID>
        <AuthenticationTypeName>ת"ז</AuthenticationTypeName>
        <LegalEntityNumber>305781965</LegalEntityNumber>
        <IsMainPartyType>false</IsMainPartyType>
        <CaseDisplayIdentifier>64059-09-24</CaseDisplayIdentifier>
        <CaseTypeID>10262</CaseTypeID>
        <CaseTypeName>תביעה לאחר הסדר התדיינויות במשפחה (תלה"מ)</CaseTypeName>
        <CaseName>יצחקי נ' יצחקי</CaseName>
        <FullAddress>שער הגיא 6 חיפה </FullAddress>
        <MotionID>109783783</MotionID>
        <CasePleaID>0</CasePleaID>
        <FatherName>משה</FatherName>
        <LinkedCaseID>0</LinkedCaseID>
        <PartyID>1</PartyID>
        <CasePartyCategoryID>4</CasePartyCategoryID>
        <LegalEntityAddressID>90994157</LegalEntityAddressID>
        <PleaTypeID>60</PleaTypeID>
        <GroupPartyAlias>מבקשים</GroupPartyAlias>
        <IsConverted>false</IsConverted>
        <LegalEntityRegisteredNameID>10903737</LegalEntityRegisteredNameID>
        <LegalEntityNameID>98264528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רותם יצחקי</PublicationProhibitedFullName>
      </CaseParties>
      <CaseParties>
        <PartyTypeName>צד</PartyTypeName>
        <ProceedingType>בקשות</ProceedingType>
        <PleaName>בקשה של תובע 1 בקשה לקביעת סמכות עניינית בענייני מזונות הקטינים לבית המשפט</PleaName>
        <PartyBelonging>צד ב'</PartyBelonging>
        <RoleName>משיב 1</RoleName>
        <IsSubProceeding>TRUE</IsSubProceeding>
        <FullName>גיא יצחקי</FullName>
        <FirstName>גיא</FirstName>
        <LastName>יצחקי</LastName>
        <PartyPropertyName/>
        <AuthenticationTypeAndNumber>ת"ז 036856599</AuthenticationTypeAndNumber>
        <RepresentatedOrRepresentativesNames>שרון סגל</RepresentatedOrRepresentativesNames>
        <RepresentatedOrRepresentativesCount>1</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278222982</CasePartyID>
        <PartyTypeID>1</PartyTypeID>
        <ActivityStatusID>1</ActivityStatusID>
        <PartyAliasID>4</PartyAliasID>
        <PartyAliasName>משיב</PartyAliasName>
        <OrdinalNumber>1</OrdinalNumber>
        <LegalEntityID>77977696</LegalEntityID>
        <CaseLegalEntityID>132418666</CaseLegalEntityID>
        <AuthenticationTypeID>1</AuthenticationTypeID>
        <AuthenticationTypeName>ת"ז</AuthenticationTypeName>
        <LegalEntityNumber>036856599</LegalEntityNumber>
        <IsMainPartyType>false</IsMainPartyType>
        <CaseDisplayIdentifier>64059-09-24</CaseDisplayIdentifier>
        <CaseTypeID>10262</CaseTypeID>
        <CaseTypeName>תביעה לאחר הסדר התדיינויות במשפחה (תלה"מ)</CaseTypeName>
        <CaseName>יצחקי נ' יצחקי</CaseName>
        <FullAddress>הדקל 22 עתלית </FullAddress>
        <MotionID>109783783</MotionID>
        <CasePleaID>0</CasePleaID>
        <FatherName>בוריס</FatherName>
        <LinkedCaseID>0</LinkedCaseID>
        <PartyID>2</PartyID>
        <CasePartyCategoryID>4</CasePartyCategoryID>
        <LegalEntityAddressID>90994158</LegalEntityAddressID>
        <PleaTypeID>60</PleaTypeID>
        <GroupPartyAlias>משיבים</GroupPartyAlias>
        <IsConverted>false</IsConverted>
        <LegalEntityRegisteredNameID>8441850</LegalEntityRegisteredNameID>
        <LegalEntityNameID>98264529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יצחקי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זלץ</FullName>
        <FirstName>טל</FirstName>
        <LastName>זלץ</LastName>
        <PartyPropertyName/>
        <AuthenticationTypeAndNumber>מ.ר. 36490</AuthenticationTypeAndNumber>
        <RepresentatedOrRepresentativesNames>רותם יצחקי</RepresentatedOrRepresentativesNames>
        <RepresentatedOrRepresentativesCount>1</RepresentatedOrRepresentativesCount>
        <InvitedBy/>
        <CaseID>81990152</CaseID>
        <CaseJudicialPersonPresentationDS>
          <CaseJudicalPersonActive>
            <CaseID>81990152</CaseID>
            <MotionID>109783783</MotionID>
            <JudicialPersonID>033554098@GOV.IL</JudicialPersonID>
            <JudicialPersonTypeID>1</JudicialPersonTypeID>
            <JudicialTypeID>1</JudicialTypeID>
            <IsChairman>false</IsChairman>
            <TreatmentStartDate>2024-10-01T09:38:14.897+03:00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277931238</CasePartyID>
        <PartyTypeID>2</PartyTypeID>
        <ActivityStatusID>1</ActivityStatusID>
        <PartyAliasID>20</PartyAliasID>
        <PartyAliasName>בא כוח תובעים</PartyAliasName>
        <OrdinalNumber>1</OrdinalNumber>
        <LegalEntityID>408834</LegalEntityID>
        <CaseLegalEntityID>132418665</CaseLegalEntityID>
        <AuthenticationTypeID>4</AuthenticationTypeID>
        <AuthenticationTypeName>מ.ר.</AuthenticationTypeName>
        <LegalEntityNumber>36490</LegalEntityNumber>
        <IsMainPartyType>true</IsMainPartyType>
        <CaseDisplayIdentifier>64059-09-24</CaseDisplayIdentifier>
        <CaseTypeID>10262</CaseTypeID>
        <CaseTypeName>תביעה לאחר הסדר התדיינויות במשפחה (תלה"מ)</CaseTypeName>
        <CaseName>יצחקי נ' יצחקי</CaseName>
        <FullAddress>שד' פל-ים 2 חיפה בנין אורן 1 קומה 1</FullAddress>
        <EmailAddress>talzaltz1@gmail.com</EmailAddress>
        <MotionID>0</MotionID>
        <CasePleaID>0</CasePleaID>
        <FatherName xml:space="preserve">        </FatherName>
        <LinkedCaseID>0</LinkedCaseID>
        <PartyID>1</PartyID>
        <CasePartyCategoryID>2</CasePartyCategoryID>
        <LegalEntityAddressID>5525931</LegalEntityAddressID>
        <LegalEntityEmailAddressID>68067032</LegalEntityEmailAddressID>
        <PleaTypeID>4</PleaTypeID>
        <LawyerOfficeName>משרד עו"ד: טל זלץ</LawyerOfficeName>
        <LawyerOfficeID>449478</LawyerOfficeID>
        <GroupPartyAlias/>
        <IsConverted>false</IsConverted>
        <LegalEntityNameID>29818</LegalEntityNameID>
        <RepresentatedNamesOfAssistant/>
        <LegalEntityTypeID>4</LegalEntityTypeID>
        <IsVerdictExists>false</IsVerdictExists>
        <IsAsirAzir>false</IsAsirAzir>
        <MainAndSecSpec/>
        <IsPublicationProhibited>false</IsPublicationProhibited>
        <PublicationProhibitedFullName>טל זלץ</PublicationProhibitedFullName>
      </CaseParties>
    </CasePartiesSelectionDS>
    <CaseName>יצחקי נ' יצחקי</CaseName>
    <CaseDisplayIdentifier>64059-09-24</CaseDisplayIdentifier>
    <CaseInterestID>10118</CaseInterestID>
    <CaseTypeShortName>תלה"מ</CaseTypeShortName>
  </dt_DecisionCase>
  <dt_DecisionJudgePanel>
    <JudgeID>033554098@GOV.IL</JudgeID>
    <DisplayName>לירון זרבל- קדשאי</DisplayName>
    <RoleName>שופט</RoleName>
    <UserTitleName>שופטת</UserTitleName>
  </dt_DecisionJudgePanel>
  <dt_LegalEntityDetails>
    <Fax/>
    <Phone/>
    <AddressDesc/>
    <PartyID>1</PartyID>
    <PartyTypeID>3</PartyTypeID>
    <DecisionID>0</DecisionID>
    <AssistantRoleID>104</AssistantRoleID>
    <StreetName/>
    <CityName/>
    <FullName>יונתן  יצחקי</FullName>
    <Email/>
    <IsPublicationProhibited>false</IsPublicationProhibited>
  </dt_LegalEntityDetails>
  <dt_LegalEntityDetails>
    <Fax/>
    <Phone/>
    <AddressDesc/>
    <PartyID>1</PartyID>
    <PartyTypeID>3</PartyTypeID>
    <DecisionID>0</DecisionID>
    <AssistantRoleID>104</AssistantRoleID>
    <StreetName/>
    <CityName/>
    <FullName>אריאל יצחקי</FullName>
    <Email/>
    <IsPublicationProhibited>false</IsPublicationProhibited>
  </dt_LegalEntityDetails>
  <dt_LegalEntityDetails>
    <Fax>09-3732001</Fax>
    <Phone>09-3732000</Phone>
    <AddressDesc/>
    <PartyID>2</PartyID>
    <PartyTypeID>2</PartyTypeID>
    <DecisionID>0</DecisionID>
    <StreetName>גיבורי ישראל 24</StreetName>
    <CityName>נתניה</CityName>
    <FullName>שרון סגל</FullName>
    <Email>sharon.segal1@gmail.com</Email>
    <IsPublicationProhibited>false</IsPublicationProhibited>
  </dt_LegalEntityDetails>
  <dt_LegalEntityDetails>
    <PartyID>1</PartyID>
    <PartyTypeID>1</PartyTypeID>
    <DecisionID>0</DecisionID>
    <StreetName>שער הגיא 6</StreetName>
    <CityName>חיפה</CityName>
    <FullName>רותם יצחקי</FullName>
    <IsPublicationProhibited>false</IsPublicationProhibited>
  </dt_LegalEntityDetails>
  <dt_LegalEntityDetails>
    <Fax>04-8645677</Fax>
    <Phone>04-8645645</Phone>
    <AddressDesc>בנין אורן 1 קומה 1</AddressDesc>
    <PartyID>1</PartyID>
    <PartyTypeID>2</PartyTypeID>
    <DecisionID>0</DecisionID>
    <StreetName>שד' פל-ים 2</StreetName>
    <ZipCode>33095</ZipCode>
    <CityName>חיפה</CityName>
    <FullName>טל זלץ</FullName>
    <Email>talzaltz1@gmail.com</Email>
    <IsPublicationProhibited>false</IsPublicationProhibited>
  </dt_LegalEntityDetails>
  <dt_LegalEntityDetails>
    <PartyID>2</PartyID>
    <PartyTypeID>1</PartyTypeID>
    <DecisionID>0</DecisionID>
    <StreetName>הדקל 22</StreetName>
    <CityName>עתלית</CityName>
    <FullName>גיא יצחקי</FullName>
    <IsPublicationProhibited>false</IsPublicationProhibited>
  </dt_LegalEntityDetails>
  <dt_CaseJudicalPersonActive>
    <CaseJudicalPerson>שופטת לירון זרבל- קדשאי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6A1AE-EA27-4456-A0B5-B674C42A94B6}">
  <ds:schemaRefs/>
</ds:datastoreItem>
</file>

<file path=customXml/itemProps2.xml><?xml version="1.0" encoding="utf-8"?>
<ds:datastoreItem xmlns:ds="http://schemas.openxmlformats.org/officeDocument/2006/customXml" ds:itemID="{876CB450-1FD8-4D30-8527-808C9806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1163</Words>
  <Characters>5819</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2024-11-14T12:02:00Z</dcterms:created>
  <dcterms:modified xsi:type="dcterms:W3CDTF">2024-11-14T12:02:00Z</dcterms:modified>
</cp:coreProperties>
</file>